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C2FD0" w14:textId="77777777" w:rsidR="00B2201D" w:rsidRDefault="00054B04">
      <w:pPr>
        <w:pStyle w:val="Subttulo"/>
        <w:rPr>
          <w:color w:val="000000"/>
        </w:rPr>
      </w:pPr>
      <w:r>
        <w:rPr>
          <w:lang w:eastAsia="pt-BR"/>
        </w:rPr>
        <w:drawing>
          <wp:inline distT="0" distB="0" distL="0" distR="0" wp14:anchorId="041C2FDC" wp14:editId="041C2FDD">
            <wp:extent cx="1260000" cy="540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C2FD1" w14:textId="77777777" w:rsidR="00B2201D" w:rsidRDefault="00054B04">
      <w:r>
        <w:rPr>
          <w:szCs w:val="20"/>
        </w:rPr>
        <w:t xml:space="preserve">Nota Técnica </w:t>
      </w:r>
      <w:r>
        <w:t>nº @@txt_identificacao@@</w:t>
      </w:r>
    </w:p>
    <w:p w14:paraId="041C2FD2" w14:textId="77777777" w:rsidR="00B2201D" w:rsidRDefault="00054B04">
      <w:pPr>
        <w:rPr>
          <w:bCs/>
        </w:rPr>
      </w:pPr>
      <w:r>
        <w:rPr>
          <w:bCs/>
        </w:rPr>
        <w:t>Documento n</w:t>
      </w:r>
      <w:r>
        <w:rPr>
          <w:u w:val="single"/>
          <w:vertAlign w:val="superscript"/>
        </w:rPr>
        <w:t>o</w:t>
      </w:r>
      <w:r>
        <w:rPr>
          <w:bCs/>
        </w:rPr>
        <w:t xml:space="preserve"> @@nup_protocolo@@</w:t>
      </w:r>
    </w:p>
    <w:p w14:paraId="041C2FD3" w14:textId="77777777" w:rsidR="00B2201D" w:rsidRDefault="00054B04">
      <w:pPr>
        <w:pStyle w:val="Legenda"/>
      </w:pPr>
      <w:r>
        <w:t>Em @@txt_dt_documento@@.</w:t>
      </w:r>
    </w:p>
    <w:p w14:paraId="041C2FD4" w14:textId="77777777" w:rsidR="00B2201D" w:rsidRDefault="00054B04">
      <w:pPr>
        <w:pStyle w:val="Cabealho1"/>
      </w:pPr>
      <w:r>
        <w:t>À Senhora Coordenadora de Apoio e Articulação com o Poder Público</w:t>
      </w:r>
    </w:p>
    <w:p w14:paraId="041C2FD5" w14:textId="42E28EA8" w:rsidR="00B2201D" w:rsidRDefault="00054B04">
      <w:pPr>
        <w:pStyle w:val="Cabealho1"/>
        <w:rPr>
          <w:b/>
        </w:rPr>
      </w:pPr>
      <w:r>
        <w:t xml:space="preserve">Assunto: </w:t>
      </w:r>
      <w:r>
        <w:rPr>
          <w:b/>
          <w:bCs/>
        </w:rPr>
        <w:t xml:space="preserve">Certificação do 1º </w:t>
      </w:r>
      <w:r w:rsidR="00E53631">
        <w:rPr>
          <w:b/>
          <w:bCs/>
        </w:rPr>
        <w:t>p</w:t>
      </w:r>
      <w:r>
        <w:rPr>
          <w:b/>
          <w:bCs/>
        </w:rPr>
        <w:t>eríodo do 2</w:t>
      </w:r>
      <w:r w:rsidRPr="00B20657">
        <w:rPr>
          <w:b/>
          <w:bCs/>
          <w:vertAlign w:val="superscript"/>
        </w:rPr>
        <w:t>o</w:t>
      </w:r>
      <w:r>
        <w:rPr>
          <w:b/>
          <w:bCs/>
        </w:rPr>
        <w:t xml:space="preserve"> </w:t>
      </w:r>
      <w:r w:rsidR="00E53631">
        <w:rPr>
          <w:b/>
          <w:bCs/>
        </w:rPr>
        <w:t>c</w:t>
      </w:r>
      <w:r>
        <w:rPr>
          <w:b/>
          <w:bCs/>
        </w:rPr>
        <w:t>iclo do Progestão no estado de Mato Grosso e determinação do valor da parcela</w:t>
      </w:r>
      <w:r w:rsidR="00E53631">
        <w:rPr>
          <w:b/>
          <w:bCs/>
        </w:rPr>
        <w:t xml:space="preserve"> a ser transferida.</w:t>
      </w:r>
    </w:p>
    <w:p w14:paraId="041C2FD6" w14:textId="6D16282E" w:rsidR="00B2201D" w:rsidRDefault="00054B04">
      <w:pPr>
        <w:pStyle w:val="Cabealho1"/>
      </w:pPr>
      <w:r>
        <w:rPr>
          <w:bCs/>
        </w:rPr>
        <w:t xml:space="preserve">Referência: </w:t>
      </w:r>
      <w:r w:rsidR="00D23AFD">
        <w:t xml:space="preserve">Processo </w:t>
      </w:r>
      <w:r w:rsidR="00D23AFD" w:rsidRPr="00D23AFD">
        <w:t>02501.002006/2017-52</w:t>
      </w:r>
      <w:r w:rsidR="00E6653F">
        <w:t>;</w:t>
      </w:r>
      <w:r w:rsidR="00D23AFD">
        <w:t xml:space="preserve"> </w:t>
      </w:r>
      <w:r w:rsidR="00E6653F">
        <w:t>Contrato n</w:t>
      </w:r>
      <w:r w:rsidR="00D23AFD" w:rsidRPr="00D23AFD">
        <w:rPr>
          <w:vertAlign w:val="superscript"/>
        </w:rPr>
        <w:t>o</w:t>
      </w:r>
      <w:r w:rsidR="00D23AFD">
        <w:t xml:space="preserve"> 072/2017/ANA – PROGESTÃO II</w:t>
      </w:r>
    </w:p>
    <w:p w14:paraId="4810FE5A" w14:textId="799E0FF3" w:rsidR="00D23AFD" w:rsidRPr="006A295A" w:rsidRDefault="00D23AFD" w:rsidP="00D23AFD">
      <w:pPr>
        <w:pStyle w:val="Paragrfo1"/>
        <w:numPr>
          <w:ilvl w:val="0"/>
          <w:numId w:val="12"/>
        </w:numPr>
        <w:ind w:left="0" w:firstLine="0"/>
      </w:pPr>
      <w:r w:rsidRPr="006A295A">
        <w:t xml:space="preserve">Trata a presente Nota Técnica de apresentar a consolidação das certificações realizadas pelas Unidades Organizacionais da ANA (UORGs), responsáveis pela verificação das ações referentes ao cumprimento das metas de cooperação federativa do Progestão, bem como ratificar a aprovação das metas de </w:t>
      </w:r>
      <w:r w:rsidR="00C7401F" w:rsidRPr="006A295A">
        <w:t>gestão de águas</w:t>
      </w:r>
      <w:r w:rsidRPr="006A295A">
        <w:t xml:space="preserve"> no âmbito </w:t>
      </w:r>
      <w:r w:rsidR="00C7401F" w:rsidRPr="006A295A">
        <w:t xml:space="preserve">do sistema </w:t>
      </w:r>
      <w:r w:rsidRPr="006A295A">
        <w:t xml:space="preserve">estadual </w:t>
      </w:r>
      <w:r w:rsidR="00C7401F" w:rsidRPr="006A295A">
        <w:t xml:space="preserve">de recursos hídricos </w:t>
      </w:r>
      <w:r w:rsidRPr="006A295A">
        <w:t>pelo Conselho Estadual de Recursos Hídricos</w:t>
      </w:r>
      <w:r w:rsidR="00FC11F3" w:rsidRPr="006A295A">
        <w:t xml:space="preserve"> (CEHIDRO)</w:t>
      </w:r>
      <w:r w:rsidR="00CA7D17" w:rsidRPr="006A295A">
        <w:t>, além d</w:t>
      </w:r>
      <w:r w:rsidRPr="006A295A">
        <w:t xml:space="preserve">e apresentar a planilha de cálculo do valor da parcela referente ao 1º período de avaliação do 2º </w:t>
      </w:r>
      <w:r w:rsidR="00CA7D17" w:rsidRPr="006A295A">
        <w:t>c</w:t>
      </w:r>
      <w:r w:rsidRPr="006A295A">
        <w:t>iclo do Progestão em Mato Grosso.</w:t>
      </w:r>
    </w:p>
    <w:p w14:paraId="18BF8C71" w14:textId="65095958" w:rsidR="00E5290C" w:rsidRPr="006A295A" w:rsidRDefault="00D23AFD" w:rsidP="00D23AFD">
      <w:pPr>
        <w:pStyle w:val="Paragrfo1"/>
        <w:numPr>
          <w:ilvl w:val="0"/>
          <w:numId w:val="12"/>
        </w:numPr>
        <w:ind w:left="0" w:firstLine="0"/>
      </w:pPr>
      <w:r w:rsidRPr="006A295A">
        <w:t>O Contrato n</w:t>
      </w:r>
      <w:r w:rsidRPr="006A295A">
        <w:rPr>
          <w:vertAlign w:val="superscript"/>
        </w:rPr>
        <w:t>o</w:t>
      </w:r>
      <w:r w:rsidRPr="006A295A">
        <w:t xml:space="preserve"> 072/2017/ANA – PROGESTÃO II, celebrado entre a ANA e a Secretaria de Estado de Meio Ambiente (SEMA-MT), prevê o cumprimento de cinco metas de cooperação federativa, quatro grupos de variáveis com metas de </w:t>
      </w:r>
      <w:r w:rsidR="00E5290C" w:rsidRPr="006A295A">
        <w:t>gestão de águas no âmbito do sistema estadual de recursos hídricos</w:t>
      </w:r>
      <w:r w:rsidRPr="006A295A">
        <w:t>, totalizando 30 variáveis de gestão</w:t>
      </w:r>
      <w:r w:rsidR="00E5290C" w:rsidRPr="006A295A">
        <w:t>,</w:t>
      </w:r>
      <w:r w:rsidRPr="006A295A">
        <w:t xml:space="preserve"> </w:t>
      </w:r>
      <w:r w:rsidR="00CA7D17" w:rsidRPr="006A295A">
        <w:t>além d</w:t>
      </w:r>
      <w:r w:rsidRPr="006A295A">
        <w:t xml:space="preserve">e </w:t>
      </w:r>
      <w:r w:rsidR="00E5290C" w:rsidRPr="006A295A">
        <w:t>metas de investimentos</w:t>
      </w:r>
      <w:r w:rsidR="00CA7D17" w:rsidRPr="006A295A">
        <w:t xml:space="preserve"> a serem</w:t>
      </w:r>
      <w:r w:rsidR="00E5290C" w:rsidRPr="006A295A">
        <w:t xml:space="preserve"> realizados</w:t>
      </w:r>
      <w:r w:rsidR="00CA7D17" w:rsidRPr="006A295A">
        <w:t xml:space="preserve"> com recursos próprios do</w:t>
      </w:r>
      <w:r w:rsidR="00E5290C" w:rsidRPr="006A295A">
        <w:t xml:space="preserve"> estado </w:t>
      </w:r>
      <w:r w:rsidR="00732A2B" w:rsidRPr="006A295A">
        <w:t>em até sete variáveis críticas que</w:t>
      </w:r>
      <w:r w:rsidR="00CA7D17" w:rsidRPr="006A295A">
        <w:t>, prioritariamente</w:t>
      </w:r>
      <w:r w:rsidR="00FB0D04" w:rsidRPr="006A295A">
        <w:t>,</w:t>
      </w:r>
      <w:r w:rsidR="00732A2B" w:rsidRPr="006A295A">
        <w:t xml:space="preserve"> demonstram a fragilidade d</w:t>
      </w:r>
      <w:r w:rsidR="00CA7D17" w:rsidRPr="006A295A">
        <w:t>o</w:t>
      </w:r>
      <w:r w:rsidR="00732A2B" w:rsidRPr="006A295A">
        <w:t xml:space="preserve"> sistema estadual de gerenciamento de recursos hídricos</w:t>
      </w:r>
      <w:r w:rsidR="00CA7D17" w:rsidRPr="006A295A">
        <w:t xml:space="preserve"> segundo o Referencial Básico de Avaliação</w:t>
      </w:r>
      <w:r w:rsidR="00FB0D04" w:rsidRPr="006A295A">
        <w:t>, elaborado pelo Instituto de Pesquisa Econômica Aplicada (IPEA) e disponível no portal do Progestão</w:t>
      </w:r>
      <w:r w:rsidR="00E5290C" w:rsidRPr="006A295A">
        <w:t>.</w:t>
      </w:r>
    </w:p>
    <w:p w14:paraId="66C1D528" w14:textId="24AD0D1A" w:rsidR="00E5290C" w:rsidRPr="006A295A" w:rsidRDefault="00E5290C" w:rsidP="00D23AFD">
      <w:pPr>
        <w:pStyle w:val="Paragrfo1"/>
        <w:numPr>
          <w:ilvl w:val="0"/>
          <w:numId w:val="12"/>
        </w:numPr>
        <w:ind w:left="0" w:firstLine="0"/>
      </w:pPr>
      <w:r w:rsidRPr="006A295A">
        <w:t>As metas de cooperação f</w:t>
      </w:r>
      <w:r w:rsidR="00D23AFD" w:rsidRPr="006A295A">
        <w:t xml:space="preserve">ederativa têm 50% do peso no cálculo do repasse e as </w:t>
      </w:r>
      <w:r w:rsidRPr="006A295A">
        <w:t xml:space="preserve">metas de cumprimento no âmbito do sistema estadual </w:t>
      </w:r>
      <w:r w:rsidR="00D23AFD" w:rsidRPr="006A295A">
        <w:t xml:space="preserve">tem os outros 50%. </w:t>
      </w:r>
      <w:r w:rsidR="008B1BFE" w:rsidRPr="006A295A">
        <w:t>As metas de cooperação federativa permanecem de atendimento obrigatório em todos os períodos de certificação. Já n</w:t>
      </w:r>
      <w:r w:rsidRPr="006A295A">
        <w:t xml:space="preserve">o 2º </w:t>
      </w:r>
      <w:r w:rsidR="00FB0D04" w:rsidRPr="006A295A">
        <w:t>c</w:t>
      </w:r>
      <w:r w:rsidRPr="006A295A">
        <w:t>iclo do Prog</w:t>
      </w:r>
      <w:r w:rsidR="00FB0D04" w:rsidRPr="006A295A">
        <w:t>rama</w:t>
      </w:r>
      <w:r w:rsidRPr="006A295A">
        <w:t>, as metas voltadas ao fortalecimento do sistema estadual foram divididas em: Metas de Gestão de Águas, com peso de 25%, e Metas de Investimento</w:t>
      </w:r>
      <w:r w:rsidR="00FB0D04" w:rsidRPr="006A295A">
        <w:t>s</w:t>
      </w:r>
      <w:r w:rsidRPr="006A295A">
        <w:t>, com peso de 25%.</w:t>
      </w:r>
      <w:r w:rsidR="00054B04" w:rsidRPr="006A295A">
        <w:t xml:space="preserve"> Para efeito de determinação do valor </w:t>
      </w:r>
      <w:r w:rsidR="00FB0D04" w:rsidRPr="006A295A">
        <w:t>de repasse</w:t>
      </w:r>
      <w:r w:rsidR="00054B04" w:rsidRPr="006A295A">
        <w:t>,</w:t>
      </w:r>
      <w:r w:rsidR="00FB0D04" w:rsidRPr="006A295A">
        <w:t xml:space="preserve"> a parcela referente à</w:t>
      </w:r>
      <w:r w:rsidR="00054B04" w:rsidRPr="006A295A">
        <w:t>s metas de investimento</w:t>
      </w:r>
      <w:r w:rsidR="00FB0D04" w:rsidRPr="006A295A">
        <w:t>s</w:t>
      </w:r>
      <w:r w:rsidR="00054B04" w:rsidRPr="006A295A">
        <w:t xml:space="preserve"> se limitam a R$ 250 mil, sendo o mínimo de R$ 25 mil. </w:t>
      </w:r>
      <w:r w:rsidR="008B1BFE" w:rsidRPr="006A295A">
        <w:t>Neste intervalo, o</w:t>
      </w:r>
      <w:r w:rsidR="00054B04" w:rsidRPr="006A295A">
        <w:t xml:space="preserve"> mesmo valor de investimento declarado pelo estado será contabilizado no valor da parcela.</w:t>
      </w:r>
    </w:p>
    <w:p w14:paraId="30B2DCE5" w14:textId="23A0A1FB" w:rsidR="00FA2A89" w:rsidRPr="006A295A" w:rsidRDefault="00054B04" w:rsidP="00FA2A89">
      <w:pPr>
        <w:pStyle w:val="Paragrfo1"/>
        <w:numPr>
          <w:ilvl w:val="0"/>
          <w:numId w:val="12"/>
        </w:numPr>
        <w:ind w:left="0" w:firstLine="0"/>
      </w:pPr>
      <w:r w:rsidRPr="006A295A">
        <w:t xml:space="preserve">No 1º período do 2º </w:t>
      </w:r>
      <w:r w:rsidR="008B1BFE" w:rsidRPr="006A295A">
        <w:t>c</w:t>
      </w:r>
      <w:r w:rsidRPr="006A295A">
        <w:t xml:space="preserve">iclo do Progestão foram avaliados o cumprimento das metas de cooperação federativa e a aprovação pelo CEHIDRO do Quadro de Metas constantes </w:t>
      </w:r>
      <w:r w:rsidR="001D2484" w:rsidRPr="006A295A">
        <w:t>d</w:t>
      </w:r>
      <w:r w:rsidRPr="006A295A">
        <w:t xml:space="preserve">os </w:t>
      </w:r>
      <w:r w:rsidR="00FC11F3" w:rsidRPr="006A295A">
        <w:t>A</w:t>
      </w:r>
      <w:r w:rsidRPr="006A295A">
        <w:t>nexos III</w:t>
      </w:r>
      <w:r w:rsidR="00A56DDC" w:rsidRPr="006A295A">
        <w:t>, IV e V do contrato em referência.</w:t>
      </w:r>
      <w:r w:rsidR="00FA2A89" w:rsidRPr="006A295A">
        <w:t xml:space="preserve"> </w:t>
      </w:r>
      <w:r w:rsidR="00A56DDC" w:rsidRPr="006A295A">
        <w:t>Além do cumprimento das metas pactuadas, o</w:t>
      </w:r>
      <w:r w:rsidR="00BA3111" w:rsidRPr="006A295A">
        <w:t xml:space="preserve"> novo</w:t>
      </w:r>
      <w:r w:rsidR="00A56DDC" w:rsidRPr="006A295A">
        <w:t xml:space="preserve"> contrato do 2º </w:t>
      </w:r>
      <w:r w:rsidR="00BA3111" w:rsidRPr="006A295A">
        <w:t>c</w:t>
      </w:r>
      <w:r w:rsidR="00A56DDC" w:rsidRPr="006A295A">
        <w:t>iclo do Prog</w:t>
      </w:r>
      <w:r w:rsidR="00BA3111" w:rsidRPr="006A295A">
        <w:t>rama</w:t>
      </w:r>
      <w:r w:rsidR="00A56DDC" w:rsidRPr="006A295A">
        <w:t xml:space="preserve"> prevê um </w:t>
      </w:r>
      <w:r w:rsidR="00FC11F3" w:rsidRPr="006A295A">
        <w:t>F</w:t>
      </w:r>
      <w:r w:rsidR="00A56DDC" w:rsidRPr="006A295A">
        <w:t xml:space="preserve">ator de </w:t>
      </w:r>
      <w:r w:rsidR="00FC11F3" w:rsidRPr="006A295A">
        <w:t>R</w:t>
      </w:r>
      <w:r w:rsidR="00A56DDC" w:rsidRPr="006A295A">
        <w:t>edução, que incide sobre o valor total calculado da parcela.</w:t>
      </w:r>
      <w:r w:rsidR="00FA2A89" w:rsidRPr="006A295A">
        <w:t xml:space="preserve"> No Anexo I do Contrato n</w:t>
      </w:r>
      <w:r w:rsidR="00FA2A89" w:rsidRPr="006A295A">
        <w:rPr>
          <w:vertAlign w:val="superscript"/>
        </w:rPr>
        <w:t>o</w:t>
      </w:r>
      <w:r w:rsidR="00FA2A89" w:rsidRPr="006A295A">
        <w:t xml:space="preserve"> 072/2017/ANA é descrito o processo de certificação das metas.</w:t>
      </w:r>
    </w:p>
    <w:p w14:paraId="69868FAC" w14:textId="10A69C9F" w:rsidR="00C71FA3" w:rsidRPr="006A295A" w:rsidRDefault="00D23AFD" w:rsidP="00D23AFD">
      <w:pPr>
        <w:pStyle w:val="Paragrfo1"/>
        <w:numPr>
          <w:ilvl w:val="0"/>
          <w:numId w:val="12"/>
        </w:numPr>
        <w:ind w:left="0" w:firstLine="0"/>
      </w:pPr>
      <w:bookmarkStart w:id="0" w:name="_Hlk482795927"/>
      <w:r w:rsidRPr="006A295A">
        <w:t xml:space="preserve">Em </w:t>
      </w:r>
      <w:r w:rsidR="00F60C6E" w:rsidRPr="006A295A">
        <w:t>setembro</w:t>
      </w:r>
      <w:r w:rsidRPr="006A295A">
        <w:t xml:space="preserve"> de 201</w:t>
      </w:r>
      <w:r w:rsidR="00F60C6E" w:rsidRPr="006A295A">
        <w:t>7</w:t>
      </w:r>
      <w:r w:rsidRPr="006A295A">
        <w:t xml:space="preserve"> a ANA encaminhou aos órgãos gestores o Informe </w:t>
      </w:r>
      <w:r w:rsidR="004C64C4" w:rsidRPr="006A295A">
        <w:t>n</w:t>
      </w:r>
      <w:r w:rsidR="004C64C4" w:rsidRPr="006A295A">
        <w:rPr>
          <w:vertAlign w:val="superscript"/>
        </w:rPr>
        <w:t>o</w:t>
      </w:r>
      <w:r w:rsidR="004C64C4" w:rsidRPr="006A295A">
        <w:t xml:space="preserve"> </w:t>
      </w:r>
      <w:r w:rsidRPr="006A295A">
        <w:t>00</w:t>
      </w:r>
      <w:r w:rsidR="00C71FA3" w:rsidRPr="006A295A">
        <w:t>8</w:t>
      </w:r>
      <w:r w:rsidRPr="006A295A">
        <w:t>/201</w:t>
      </w:r>
      <w:r w:rsidR="00C71FA3" w:rsidRPr="006A295A">
        <w:t>7</w:t>
      </w:r>
      <w:r w:rsidRPr="006A295A">
        <w:t xml:space="preserve"> detalhando os critérios para avaliação do cumprimento das </w:t>
      </w:r>
      <w:r w:rsidR="00BA3111" w:rsidRPr="006A295A">
        <w:t>m</w:t>
      </w:r>
      <w:r w:rsidRPr="006A295A">
        <w:t xml:space="preserve">etas de </w:t>
      </w:r>
      <w:r w:rsidR="00BA3111" w:rsidRPr="006A295A">
        <w:t>c</w:t>
      </w:r>
      <w:r w:rsidRPr="006A295A">
        <w:t xml:space="preserve">ooperação </w:t>
      </w:r>
      <w:r w:rsidR="00BA3111" w:rsidRPr="006A295A">
        <w:t>f</w:t>
      </w:r>
      <w:r w:rsidRPr="006A295A">
        <w:t>ederativa para os estados que adotaram o ano de 201</w:t>
      </w:r>
      <w:r w:rsidR="00C71FA3" w:rsidRPr="006A295A">
        <w:t>7</w:t>
      </w:r>
      <w:r w:rsidRPr="006A295A">
        <w:t xml:space="preserve"> como </w:t>
      </w:r>
      <w:r w:rsidR="00C71FA3" w:rsidRPr="006A295A">
        <w:t>o primeiro</w:t>
      </w:r>
      <w:r w:rsidRPr="006A295A">
        <w:t xml:space="preserve"> período de certificação </w:t>
      </w:r>
      <w:r w:rsidR="00C71FA3" w:rsidRPr="006A295A">
        <w:t xml:space="preserve">do 2º </w:t>
      </w:r>
      <w:r w:rsidR="00BA3111" w:rsidRPr="006A295A">
        <w:t>c</w:t>
      </w:r>
      <w:r w:rsidR="00C71FA3" w:rsidRPr="006A295A">
        <w:t xml:space="preserve">iclo do Progestão </w:t>
      </w:r>
      <w:r w:rsidRPr="006A295A">
        <w:t>e solicitou a apresentação, até 31 de março de 201</w:t>
      </w:r>
      <w:r w:rsidR="00C71FA3" w:rsidRPr="006A295A">
        <w:t>8</w:t>
      </w:r>
      <w:r w:rsidRPr="006A295A">
        <w:t>, do Relatório Progestão 2017</w:t>
      </w:r>
      <w:r w:rsidR="00BA3111" w:rsidRPr="006A295A">
        <w:t>,</w:t>
      </w:r>
      <w:r w:rsidR="00C71FA3" w:rsidRPr="006A295A">
        <w:t xml:space="preserve"> informando que</w:t>
      </w:r>
      <w:r w:rsidR="00BA3111" w:rsidRPr="006A295A">
        <w:t>,</w:t>
      </w:r>
      <w:r w:rsidR="00C71FA3" w:rsidRPr="006A295A">
        <w:t xml:space="preserve"> para este primeiro período o atendimento das metas </w:t>
      </w:r>
      <w:r w:rsidR="00C71FA3" w:rsidRPr="006A295A">
        <w:lastRenderedPageBreak/>
        <w:t xml:space="preserve">de gestão da água em âmbito do Sistema Estadual de Recursos Hídricos refere-se à aprovação do novo Quadro de </w:t>
      </w:r>
      <w:r w:rsidR="00BA3111" w:rsidRPr="006A295A">
        <w:t>Metas (Anexos III, IV e V) pelo</w:t>
      </w:r>
      <w:r w:rsidR="00C71FA3" w:rsidRPr="006A295A">
        <w:t xml:space="preserve"> respectivo Conselho Estadua</w:t>
      </w:r>
      <w:r w:rsidR="00BA3111" w:rsidRPr="006A295A">
        <w:t>l</w:t>
      </w:r>
      <w:r w:rsidR="00C71FA3" w:rsidRPr="006A295A">
        <w:t>.</w:t>
      </w:r>
      <w:r w:rsidR="00AC7A5B" w:rsidRPr="006A295A">
        <w:t xml:space="preserve"> Na oportunidade solicitou também o envio do Formulário de Autoavaliação 2017 referente às variáveis estaduais, bem como a apresentação do Plano Plurianual de Aplicação dos recursos do Progestão para o período 2018-2021, correspondente ao critério “c” do Fator de Redução estabelecido no Anexo I do contrato.</w:t>
      </w:r>
    </w:p>
    <w:p w14:paraId="040B20C2" w14:textId="559BAB26" w:rsidR="00AB540D" w:rsidRPr="006A295A" w:rsidRDefault="00C71FA3" w:rsidP="00AB540D">
      <w:pPr>
        <w:pStyle w:val="Paragrfo1"/>
        <w:numPr>
          <w:ilvl w:val="0"/>
          <w:numId w:val="12"/>
        </w:numPr>
        <w:ind w:left="0" w:firstLine="0"/>
      </w:pPr>
      <w:r w:rsidRPr="006A295A">
        <w:t xml:space="preserve">Ainda em setembro de 2017 foi enviado o Informe </w:t>
      </w:r>
      <w:r w:rsidR="004C64C4" w:rsidRPr="006A295A">
        <w:t>n</w:t>
      </w:r>
      <w:r w:rsidR="004C64C4" w:rsidRPr="006A295A">
        <w:rPr>
          <w:vertAlign w:val="superscript"/>
        </w:rPr>
        <w:t>o</w:t>
      </w:r>
      <w:r w:rsidR="004C64C4" w:rsidRPr="006A295A">
        <w:t xml:space="preserve"> </w:t>
      </w:r>
      <w:r w:rsidRPr="006A295A">
        <w:t xml:space="preserve">009/2017 </w:t>
      </w:r>
      <w:r w:rsidR="005A3F67" w:rsidRPr="006A295A">
        <w:t>detalhando</w:t>
      </w:r>
      <w:r w:rsidRPr="006A295A">
        <w:t xml:space="preserve"> os critérios de avaliação da Meta I.5 </w:t>
      </w:r>
      <w:r w:rsidR="004C64C4" w:rsidRPr="006A295A">
        <w:t>relativos</w:t>
      </w:r>
      <w:r w:rsidR="00AB540D" w:rsidRPr="006A295A">
        <w:t xml:space="preserve"> </w:t>
      </w:r>
      <w:r w:rsidR="005A3F67" w:rsidRPr="006A295A">
        <w:t>à</w:t>
      </w:r>
      <w:r w:rsidR="00AB540D" w:rsidRPr="006A295A">
        <w:t xml:space="preserve"> </w:t>
      </w:r>
      <w:r w:rsidR="004C64C4" w:rsidRPr="006A295A">
        <w:t>segurança de barragens, pactuados</w:t>
      </w:r>
      <w:r w:rsidR="00AB540D" w:rsidRPr="006A295A">
        <w:t xml:space="preserve"> por </w:t>
      </w:r>
      <w:r w:rsidR="004C64C4" w:rsidRPr="006A295A">
        <w:t xml:space="preserve">meio de </w:t>
      </w:r>
      <w:r w:rsidR="005A3F67" w:rsidRPr="006A295A">
        <w:t>v</w:t>
      </w:r>
      <w:r w:rsidR="004C64C4" w:rsidRPr="006A295A">
        <w:t>ideoconferência,</w:t>
      </w:r>
      <w:r w:rsidR="005A3F67" w:rsidRPr="006A295A">
        <w:t xml:space="preserve"> realizada com o estado em 06/09/2017 e</w:t>
      </w:r>
      <w:r w:rsidR="004C64C4" w:rsidRPr="006A295A">
        <w:t xml:space="preserve"> </w:t>
      </w:r>
      <w:r w:rsidR="00325E00" w:rsidRPr="006A295A">
        <w:t>registrada</w:t>
      </w:r>
      <w:r w:rsidR="00AB540D" w:rsidRPr="006A295A">
        <w:t xml:space="preserve"> na Ajuda Memória - Acompanhamento Progestão nº 20/2017/COAPP/SAS</w:t>
      </w:r>
      <w:r w:rsidR="00325E00" w:rsidRPr="006A295A">
        <w:t xml:space="preserve"> (</w:t>
      </w:r>
      <w:r w:rsidR="00AB540D" w:rsidRPr="006A295A">
        <w:t>Doc</w:t>
      </w:r>
      <w:r w:rsidR="00325E00" w:rsidRPr="006A295A">
        <w:t>.</w:t>
      </w:r>
      <w:r w:rsidR="00AB540D" w:rsidRPr="006A295A">
        <w:t xml:space="preserve"> n</w:t>
      </w:r>
      <w:r w:rsidR="00AB540D" w:rsidRPr="006A295A">
        <w:rPr>
          <w:vertAlign w:val="superscript"/>
        </w:rPr>
        <w:t>o</w:t>
      </w:r>
      <w:r w:rsidR="00AB540D" w:rsidRPr="006A295A">
        <w:t xml:space="preserve"> 065914/2017).</w:t>
      </w:r>
    </w:p>
    <w:bookmarkEnd w:id="0"/>
    <w:p w14:paraId="5F42F506" w14:textId="0B2927B3" w:rsidR="00FC11F3" w:rsidRPr="006A295A" w:rsidRDefault="007C43F7" w:rsidP="003D2FF7">
      <w:pPr>
        <w:pStyle w:val="Paragrfo1"/>
        <w:numPr>
          <w:ilvl w:val="0"/>
          <w:numId w:val="12"/>
        </w:numPr>
        <w:ind w:left="0" w:firstLine="0"/>
      </w:pPr>
      <w:r w:rsidRPr="006A295A">
        <w:t xml:space="preserve">Atendendo aos Informes e à </w:t>
      </w:r>
      <w:r w:rsidR="00D23AFD" w:rsidRPr="006A295A">
        <w:t xml:space="preserve">Resolução ANA nº 1485/2013, a SEMA/MT encaminhou à ANA, por meio do Ofício nº </w:t>
      </w:r>
      <w:r w:rsidR="00A644F4" w:rsidRPr="006A295A">
        <w:t>572/2018/GAB/SEMA/MT (Doc. n</w:t>
      </w:r>
      <w:r w:rsidR="00A644F4" w:rsidRPr="006A295A">
        <w:rPr>
          <w:vertAlign w:val="superscript"/>
        </w:rPr>
        <w:t>o</w:t>
      </w:r>
      <w:r w:rsidR="00A644F4" w:rsidRPr="006A295A">
        <w:t xml:space="preserve"> </w:t>
      </w:r>
      <w:r w:rsidR="003D2FF7" w:rsidRPr="006A295A">
        <w:t>021511/2018</w:t>
      </w:r>
      <w:r w:rsidR="00A644F4" w:rsidRPr="006A295A">
        <w:t>) de 23/03/2018,</w:t>
      </w:r>
      <w:r w:rsidR="00D23AFD" w:rsidRPr="006A295A">
        <w:t xml:space="preserve"> o </w:t>
      </w:r>
      <w:r w:rsidR="00D23AFD" w:rsidRPr="006A295A">
        <w:rPr>
          <w:b/>
        </w:rPr>
        <w:t>Relatório Progestão 201</w:t>
      </w:r>
      <w:r w:rsidR="003D1ADC" w:rsidRPr="006A295A">
        <w:rPr>
          <w:b/>
        </w:rPr>
        <w:t>7</w:t>
      </w:r>
      <w:r w:rsidR="00043D13" w:rsidRPr="006A295A">
        <w:rPr>
          <w:b/>
        </w:rPr>
        <w:t xml:space="preserve"> - 2º Ciclo </w:t>
      </w:r>
      <w:r w:rsidR="00043D13" w:rsidRPr="006A295A">
        <w:t>acompanhado d</w:t>
      </w:r>
      <w:r w:rsidR="00A644F4" w:rsidRPr="006A295A">
        <w:t xml:space="preserve">a Resolução </w:t>
      </w:r>
      <w:r w:rsidR="008A5BC9" w:rsidRPr="006A295A">
        <w:t>CEHIDRO n</w:t>
      </w:r>
      <w:r w:rsidR="008A5BC9" w:rsidRPr="006A295A">
        <w:rPr>
          <w:vertAlign w:val="superscript"/>
        </w:rPr>
        <w:t>o</w:t>
      </w:r>
      <w:r w:rsidR="008A5BC9" w:rsidRPr="006A295A">
        <w:t xml:space="preserve"> </w:t>
      </w:r>
      <w:r w:rsidR="00A644F4" w:rsidRPr="006A295A">
        <w:t>101, de 08</w:t>
      </w:r>
      <w:r w:rsidR="008A5BC9" w:rsidRPr="006A295A">
        <w:t xml:space="preserve"> de março de </w:t>
      </w:r>
      <w:r w:rsidR="00A644F4" w:rsidRPr="006A295A">
        <w:t>2018</w:t>
      </w:r>
      <w:r w:rsidR="005A3F67" w:rsidRPr="006A295A">
        <w:t>,</w:t>
      </w:r>
      <w:r w:rsidR="008A5BC9" w:rsidRPr="006A295A">
        <w:t xml:space="preserve"> que aprova o </w:t>
      </w:r>
      <w:r w:rsidR="008A5BC9" w:rsidRPr="006A295A">
        <w:rPr>
          <w:b/>
        </w:rPr>
        <w:t>Plano Plurianual de Aplicação dos Recursos do Progestão</w:t>
      </w:r>
      <w:r w:rsidR="005A3F67" w:rsidRPr="006A295A">
        <w:t>;</w:t>
      </w:r>
      <w:r w:rsidR="008A5BC9" w:rsidRPr="006A295A">
        <w:t xml:space="preserve"> </w:t>
      </w:r>
      <w:r w:rsidR="005A3F67" w:rsidRPr="006A295A">
        <w:t>d</w:t>
      </w:r>
      <w:r w:rsidR="008A5BC9" w:rsidRPr="006A295A">
        <w:t>a Resolução CEHIDRO n</w:t>
      </w:r>
      <w:r w:rsidR="008A5BC9" w:rsidRPr="006A295A">
        <w:rPr>
          <w:vertAlign w:val="superscript"/>
        </w:rPr>
        <w:t>o</w:t>
      </w:r>
      <w:r w:rsidR="008A5BC9" w:rsidRPr="006A295A">
        <w:t xml:space="preserve"> 102, de 08 de março de 2018, que aprecia o Plano de Capacitação para o SEGREH</w:t>
      </w:r>
      <w:r w:rsidR="005A3F67" w:rsidRPr="006A295A">
        <w:t>;</w:t>
      </w:r>
      <w:r w:rsidR="008A5BC9" w:rsidRPr="006A295A">
        <w:t xml:space="preserve"> </w:t>
      </w:r>
      <w:r w:rsidR="005A3F67" w:rsidRPr="006A295A">
        <w:t>bem como da</w:t>
      </w:r>
      <w:r w:rsidR="008A5BC9" w:rsidRPr="006A295A">
        <w:t xml:space="preserve"> Resolução CEHIDRO n</w:t>
      </w:r>
      <w:r w:rsidR="008A5BC9" w:rsidRPr="006A295A">
        <w:rPr>
          <w:vertAlign w:val="superscript"/>
        </w:rPr>
        <w:t>o</w:t>
      </w:r>
      <w:r w:rsidR="008A5BC9" w:rsidRPr="006A295A">
        <w:t xml:space="preserve"> 103</w:t>
      </w:r>
      <w:r w:rsidR="005A3F67" w:rsidRPr="006A295A">
        <w:t>,</w:t>
      </w:r>
      <w:r w:rsidR="008A5BC9" w:rsidRPr="006A295A">
        <w:t xml:space="preserve"> de 08 de março de 2018</w:t>
      </w:r>
      <w:r w:rsidR="005A3F67" w:rsidRPr="006A295A">
        <w:t>,</w:t>
      </w:r>
      <w:r w:rsidR="008A5BC9" w:rsidRPr="006A295A">
        <w:t xml:space="preserve"> que atesta o cumprimento das metas de cooperação federativa referente a 2017 pela SEMA/MT </w:t>
      </w:r>
      <w:r w:rsidR="00D23AFD" w:rsidRPr="006A295A">
        <w:t>e</w:t>
      </w:r>
      <w:r w:rsidR="008A5BC9" w:rsidRPr="006A295A">
        <w:t xml:space="preserve"> o empenho</w:t>
      </w:r>
      <w:r w:rsidR="003C6F11" w:rsidRPr="006A295A">
        <w:t xml:space="preserve"> efetuado pelo estado em 2017</w:t>
      </w:r>
      <w:r w:rsidR="008A5BC9" w:rsidRPr="006A295A">
        <w:t xml:space="preserve"> no valor de R</w:t>
      </w:r>
      <w:r w:rsidR="00830F37" w:rsidRPr="006A295A">
        <w:t>$</w:t>
      </w:r>
      <w:r w:rsidR="008A5BC9" w:rsidRPr="006A295A">
        <w:t xml:space="preserve"> 2.034.767,66, correspondendo a mais de 50% do valor acumulado já transferido pela ANA no âmbito do Progestão.</w:t>
      </w:r>
      <w:r w:rsidR="00B40F0B" w:rsidRPr="006A295A">
        <w:t xml:space="preserve"> </w:t>
      </w:r>
    </w:p>
    <w:p w14:paraId="5B03DF69" w14:textId="3FADA323" w:rsidR="008A5BC9" w:rsidRPr="006A295A" w:rsidRDefault="00FC11F3" w:rsidP="003D2FF7">
      <w:pPr>
        <w:pStyle w:val="Paragrfo1"/>
        <w:numPr>
          <w:ilvl w:val="0"/>
          <w:numId w:val="12"/>
        </w:numPr>
        <w:ind w:left="0" w:firstLine="0"/>
      </w:pPr>
      <w:r w:rsidRPr="006A295A">
        <w:t xml:space="preserve">Embora sem repercussão financeira neste 1º período de certificação do 2º ciclo do programa, foi </w:t>
      </w:r>
      <w:r w:rsidR="003C6F11" w:rsidRPr="006A295A">
        <w:t>também</w:t>
      </w:r>
      <w:r w:rsidRPr="006A295A">
        <w:t xml:space="preserve"> apresentado</w:t>
      </w:r>
      <w:r w:rsidR="003C6F11" w:rsidRPr="006A295A">
        <w:t xml:space="preserve"> o</w:t>
      </w:r>
      <w:r w:rsidRPr="006A295A">
        <w:t xml:space="preserve"> </w:t>
      </w:r>
      <w:r w:rsidRPr="006A295A">
        <w:rPr>
          <w:b/>
        </w:rPr>
        <w:t>Formulário de Autoavaliação 2017</w:t>
      </w:r>
      <w:r w:rsidRPr="006A295A">
        <w:t xml:space="preserve">, devidamente aprovado pelo </w:t>
      </w:r>
      <w:r w:rsidR="003C6F11" w:rsidRPr="006A295A">
        <w:t xml:space="preserve">CEHIDRO, conforme </w:t>
      </w:r>
      <w:r w:rsidR="003C6F11" w:rsidRPr="006A295A">
        <w:rPr>
          <w:highlight w:val="yellow"/>
        </w:rPr>
        <w:t>xxxxxxxxxxxxx</w:t>
      </w:r>
      <w:r w:rsidR="00B40F0B" w:rsidRPr="006A295A">
        <w:t>.</w:t>
      </w:r>
    </w:p>
    <w:p w14:paraId="19777407" w14:textId="69E3F71A" w:rsidR="00732A2B" w:rsidRPr="006A295A" w:rsidRDefault="00D23AFD" w:rsidP="00544760">
      <w:pPr>
        <w:pStyle w:val="Paragrfo1"/>
        <w:numPr>
          <w:ilvl w:val="0"/>
          <w:numId w:val="12"/>
        </w:numPr>
        <w:spacing w:after="120"/>
        <w:ind w:left="0" w:firstLine="0"/>
      </w:pPr>
      <w:r w:rsidRPr="006A295A">
        <w:t xml:space="preserve">No </w:t>
      </w:r>
      <w:r w:rsidRPr="006A295A">
        <w:rPr>
          <w:b/>
        </w:rPr>
        <w:t>Quadro 1</w:t>
      </w:r>
      <w:r w:rsidRPr="006A295A">
        <w:t>, abaixo, apresenta-se o resultado da certificação das metas de cooperação federativa para o estado de Mato Grosso</w:t>
      </w:r>
      <w:r w:rsidR="00CE6A62" w:rsidRPr="006A295A">
        <w:t xml:space="preserve"> no ano de 2017</w:t>
      </w:r>
      <w:r w:rsidRPr="006A295A">
        <w:t>.</w:t>
      </w:r>
    </w:p>
    <w:p w14:paraId="6F565F05" w14:textId="2101D881" w:rsidR="00D23AFD" w:rsidRPr="008A5BC9" w:rsidRDefault="00D23AFD" w:rsidP="00D23AFD">
      <w:pPr>
        <w:pStyle w:val="Recuodecorpodetexto2"/>
        <w:tabs>
          <w:tab w:val="left" w:pos="1134"/>
        </w:tabs>
        <w:spacing w:line="240" w:lineRule="auto"/>
        <w:ind w:left="0"/>
        <w:jc w:val="both"/>
        <w:rPr>
          <w:rFonts w:eastAsia="Times New Roman" w:cs="Times New Roman"/>
          <w:szCs w:val="20"/>
        </w:rPr>
      </w:pPr>
      <w:r w:rsidRPr="006A295A">
        <w:rPr>
          <w:rFonts w:eastAsia="Times New Roman" w:cs="Times New Roman"/>
          <w:b/>
          <w:szCs w:val="20"/>
        </w:rPr>
        <w:t>Quadro 1.</w:t>
      </w:r>
      <w:r w:rsidRPr="006A295A">
        <w:rPr>
          <w:rFonts w:eastAsia="Times New Roman" w:cs="Times New Roman"/>
          <w:szCs w:val="20"/>
        </w:rPr>
        <w:tab/>
        <w:t>Certificação</w:t>
      </w:r>
      <w:r w:rsidR="008A5BC9" w:rsidRPr="006A295A">
        <w:rPr>
          <w:rFonts w:eastAsia="Times New Roman" w:cs="Times New Roman"/>
          <w:szCs w:val="20"/>
        </w:rPr>
        <w:t xml:space="preserve"> </w:t>
      </w:r>
      <w:r w:rsidR="00A32189" w:rsidRPr="006A295A">
        <w:rPr>
          <w:rFonts w:eastAsia="Times New Roman" w:cs="Times New Roman"/>
          <w:szCs w:val="20"/>
        </w:rPr>
        <w:t>d</w:t>
      </w:r>
      <w:r w:rsidR="008A5BC9" w:rsidRPr="006A295A">
        <w:rPr>
          <w:rFonts w:eastAsia="Times New Roman" w:cs="Times New Roman"/>
          <w:szCs w:val="20"/>
        </w:rPr>
        <w:t>as UORGs</w:t>
      </w:r>
      <w:r w:rsidR="00A32189" w:rsidRPr="006A295A">
        <w:rPr>
          <w:rFonts w:eastAsia="Times New Roman" w:cs="Times New Roman"/>
          <w:szCs w:val="20"/>
        </w:rPr>
        <w:t>/ANA</w:t>
      </w:r>
      <w:r w:rsidR="008A5BC9" w:rsidRPr="006A295A">
        <w:rPr>
          <w:rFonts w:eastAsia="Times New Roman" w:cs="Times New Roman"/>
          <w:szCs w:val="20"/>
        </w:rPr>
        <w:t xml:space="preserve"> responsáveis </w:t>
      </w:r>
      <w:r w:rsidR="00A32189" w:rsidRPr="006A295A">
        <w:rPr>
          <w:rFonts w:eastAsia="Times New Roman" w:cs="Times New Roman"/>
          <w:szCs w:val="20"/>
        </w:rPr>
        <w:t>pel</w:t>
      </w:r>
      <w:r w:rsidRPr="006A295A">
        <w:rPr>
          <w:rFonts w:eastAsia="Times New Roman" w:cs="Times New Roman"/>
          <w:szCs w:val="20"/>
        </w:rPr>
        <w:t>as metas de coope</w:t>
      </w:r>
      <w:r w:rsidRPr="008A5BC9">
        <w:rPr>
          <w:rFonts w:eastAsia="Times New Roman" w:cs="Times New Roman"/>
          <w:szCs w:val="20"/>
        </w:rPr>
        <w:t xml:space="preserve">ração federativa do Progestão </w:t>
      </w:r>
      <w:r w:rsidR="00A32189">
        <w:rPr>
          <w:rFonts w:eastAsia="Times New Roman" w:cs="Times New Roman"/>
          <w:szCs w:val="20"/>
        </w:rPr>
        <w:t>n</w:t>
      </w:r>
      <w:r w:rsidRPr="008A5BC9">
        <w:rPr>
          <w:rFonts w:eastAsia="Times New Roman" w:cs="Times New Roman"/>
          <w:szCs w:val="20"/>
        </w:rPr>
        <w:t>o estado de Mato Grosso.</w:t>
      </w:r>
    </w:p>
    <w:tbl>
      <w:tblPr>
        <w:tblStyle w:val="Tabelacomgrade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3719"/>
        <w:gridCol w:w="1530"/>
      </w:tblGrid>
      <w:tr w:rsidR="00D23AFD" w:rsidRPr="00D23AFD" w14:paraId="150C6873" w14:textId="77777777" w:rsidTr="003C6F11">
        <w:trPr>
          <w:tblHeader/>
          <w:jc w:val="center"/>
        </w:trPr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833E2" w14:textId="77777777" w:rsidR="00D23AFD" w:rsidRPr="005D03C8" w:rsidRDefault="00D23AFD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rPr>
                <w:rFonts w:eastAsia="Times New Roman" w:cs="Times New Roman"/>
                <w:b/>
                <w:szCs w:val="20"/>
              </w:rPr>
            </w:pPr>
            <w:r w:rsidRPr="005D03C8">
              <w:rPr>
                <w:rFonts w:eastAsia="Times New Roman" w:cs="Times New Roman"/>
                <w:b/>
                <w:szCs w:val="20"/>
              </w:rPr>
              <w:t>Metas de cooperação federativa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B42B1" w14:textId="77777777" w:rsidR="00D23AFD" w:rsidRPr="005D03C8" w:rsidRDefault="00D23AFD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Cs w:val="20"/>
              </w:rPr>
            </w:pPr>
            <w:r w:rsidRPr="005D03C8">
              <w:rPr>
                <w:rFonts w:eastAsia="Times New Roman" w:cs="Times New Roman"/>
                <w:b/>
                <w:szCs w:val="20"/>
              </w:rPr>
              <w:t>UORG responsável</w:t>
            </w:r>
          </w:p>
        </w:tc>
        <w:tc>
          <w:tcPr>
            <w:tcW w:w="3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2EC3" w14:textId="77777777" w:rsidR="00D23AFD" w:rsidRPr="005D03C8" w:rsidRDefault="00D23AFD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Cs w:val="20"/>
              </w:rPr>
            </w:pPr>
            <w:r w:rsidRPr="005D03C8">
              <w:rPr>
                <w:rFonts w:eastAsia="Times New Roman" w:cs="Times New Roman"/>
                <w:b/>
                <w:szCs w:val="20"/>
              </w:rPr>
              <w:t>Documento de referência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6093A0" w14:textId="77777777" w:rsidR="00D23AFD" w:rsidRPr="005D03C8" w:rsidRDefault="00D23AFD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Cs w:val="20"/>
              </w:rPr>
            </w:pPr>
            <w:r w:rsidRPr="005D03C8">
              <w:rPr>
                <w:rFonts w:eastAsia="Times New Roman" w:cs="Times New Roman"/>
                <w:b/>
                <w:szCs w:val="20"/>
              </w:rPr>
              <w:t>Situação de atendimento</w:t>
            </w:r>
          </w:p>
        </w:tc>
      </w:tr>
      <w:tr w:rsidR="005D03C8" w:rsidRPr="005D03C8" w14:paraId="5798429E" w14:textId="77777777" w:rsidTr="003C6F11">
        <w:trPr>
          <w:trHeight w:val="510"/>
          <w:jc w:val="center"/>
        </w:trPr>
        <w:tc>
          <w:tcPr>
            <w:tcW w:w="255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180FB90E" w14:textId="51584B96" w:rsidR="00043D13" w:rsidRPr="005D03C8" w:rsidRDefault="00043D13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rPr>
                <w:rFonts w:eastAsia="Times New Roman" w:cs="Times New Roman"/>
                <w:sz w:val="18"/>
                <w:szCs w:val="18"/>
              </w:rPr>
            </w:pPr>
            <w:r w:rsidRPr="005D03C8">
              <w:rPr>
                <w:rFonts w:eastAsia="Times New Roman" w:cs="Times New Roman"/>
                <w:sz w:val="18"/>
                <w:szCs w:val="18"/>
              </w:rPr>
              <w:t>I.1. Integração de dados de usuários de recursos hídricos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2E3B072F" w14:textId="77777777" w:rsidR="00043D13" w:rsidRPr="005D03C8" w:rsidRDefault="00043D13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D03C8">
              <w:rPr>
                <w:rFonts w:eastAsia="Times New Roman" w:cs="Times New Roman"/>
                <w:sz w:val="18"/>
                <w:szCs w:val="18"/>
              </w:rPr>
              <w:t>SFI/COCAD</w:t>
            </w:r>
          </w:p>
        </w:tc>
        <w:tc>
          <w:tcPr>
            <w:tcW w:w="371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298F5949" w14:textId="59C49CA2" w:rsidR="00043D13" w:rsidRPr="005D03C8" w:rsidRDefault="005D03C8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rPr>
                <w:rFonts w:eastAsia="Times New Roman" w:cs="Times New Roman"/>
                <w:sz w:val="18"/>
                <w:szCs w:val="18"/>
              </w:rPr>
            </w:pPr>
            <w:r w:rsidRPr="005D03C8">
              <w:rPr>
                <w:rFonts w:eastAsia="Times New Roman" w:cs="Times New Roman"/>
                <w:sz w:val="18"/>
                <w:szCs w:val="18"/>
              </w:rPr>
              <w:t>Parecer Técnico nº 11/2018/COCAD/SFI</w:t>
            </w:r>
            <w:r w:rsidR="00043D13" w:rsidRPr="005D03C8">
              <w:rPr>
                <w:rFonts w:eastAsia="Times New Roman" w:cs="Times New Roman"/>
                <w:sz w:val="18"/>
                <w:szCs w:val="18"/>
              </w:rPr>
              <w:t xml:space="preserve"> (Doc. nº </w:t>
            </w:r>
            <w:r w:rsidRPr="005D03C8">
              <w:rPr>
                <w:rFonts w:eastAsia="Times New Roman" w:cs="Times New Roman"/>
                <w:sz w:val="18"/>
                <w:szCs w:val="18"/>
              </w:rPr>
              <w:t>027423/2018</w:t>
            </w:r>
            <w:r w:rsidR="00043D13" w:rsidRPr="005D03C8"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7B611CBC" w14:textId="58239E64" w:rsidR="00043D13" w:rsidRPr="005D03C8" w:rsidRDefault="005D03C8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D03C8">
              <w:rPr>
                <w:rFonts w:eastAsia="Times New Roman" w:cs="Times New Roman"/>
                <w:sz w:val="18"/>
                <w:szCs w:val="18"/>
              </w:rPr>
              <w:t>Atendeu</w:t>
            </w:r>
          </w:p>
        </w:tc>
      </w:tr>
      <w:tr w:rsidR="005D03C8" w:rsidRPr="005D03C8" w14:paraId="1C321CD8" w14:textId="77777777" w:rsidTr="00556975">
        <w:trPr>
          <w:trHeight w:val="510"/>
          <w:jc w:val="center"/>
        </w:trPr>
        <w:tc>
          <w:tcPr>
            <w:tcW w:w="2552" w:type="dxa"/>
            <w:vMerge/>
            <w:tcBorders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71959F09" w14:textId="77777777" w:rsidR="00043D13" w:rsidRPr="005D03C8" w:rsidRDefault="00043D13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4031F19" w14:textId="343B8E53" w:rsidR="00043D13" w:rsidRPr="005D03C8" w:rsidRDefault="00043D13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D03C8">
              <w:rPr>
                <w:rFonts w:eastAsia="Times New Roman" w:cs="Times New Roman"/>
                <w:sz w:val="18"/>
                <w:szCs w:val="18"/>
              </w:rPr>
              <w:t>SIP/COSUB</w:t>
            </w:r>
          </w:p>
        </w:tc>
        <w:tc>
          <w:tcPr>
            <w:tcW w:w="37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6CCBB40" w14:textId="775FC3A5" w:rsidR="00043D13" w:rsidRPr="005D03C8" w:rsidRDefault="00043D13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rPr>
                <w:rFonts w:eastAsia="Times New Roman" w:cs="Times New Roman"/>
                <w:sz w:val="18"/>
                <w:szCs w:val="18"/>
              </w:rPr>
            </w:pPr>
            <w:r w:rsidRPr="005D03C8">
              <w:rPr>
                <w:rFonts w:eastAsia="Times New Roman" w:cs="Times New Roman"/>
                <w:sz w:val="18"/>
                <w:szCs w:val="18"/>
              </w:rPr>
              <w:t xml:space="preserve">Nota Técnica nº </w:t>
            </w:r>
            <w:r w:rsidR="005D03C8" w:rsidRPr="005D03C8">
              <w:rPr>
                <w:rFonts w:eastAsia="Times New Roman" w:cs="Times New Roman"/>
                <w:sz w:val="18"/>
                <w:szCs w:val="18"/>
              </w:rPr>
              <w:t>11/2018/COSUB/SIP</w:t>
            </w:r>
            <w:r w:rsidRPr="005D03C8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556975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 w:rsidRPr="005D03C8">
              <w:rPr>
                <w:rFonts w:eastAsia="Times New Roman" w:cs="Times New Roman"/>
                <w:sz w:val="18"/>
                <w:szCs w:val="18"/>
              </w:rPr>
              <w:t xml:space="preserve">(Doc. nº </w:t>
            </w:r>
            <w:r w:rsidR="005D03C8" w:rsidRPr="005D03C8">
              <w:rPr>
                <w:rFonts w:eastAsia="Times New Roman" w:cs="Times New Roman"/>
                <w:sz w:val="18"/>
                <w:szCs w:val="18"/>
              </w:rPr>
              <w:t>029903/2018</w:t>
            </w:r>
            <w:r w:rsidRPr="005D03C8"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073876CC" w14:textId="08E4C3F5" w:rsidR="00043D13" w:rsidRPr="005D03C8" w:rsidRDefault="005D03C8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D03C8">
              <w:rPr>
                <w:rFonts w:eastAsia="Times New Roman" w:cs="Times New Roman"/>
                <w:sz w:val="18"/>
                <w:szCs w:val="18"/>
              </w:rPr>
              <w:t>99,81%</w:t>
            </w:r>
          </w:p>
        </w:tc>
      </w:tr>
      <w:tr w:rsidR="00D23AFD" w:rsidRPr="00D23AFD" w14:paraId="6F606A31" w14:textId="77777777" w:rsidTr="00556975">
        <w:trPr>
          <w:trHeight w:val="510"/>
          <w:jc w:val="center"/>
        </w:trPr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07409E04" w14:textId="0F148898" w:rsidR="00D23AFD" w:rsidRPr="005D03C8" w:rsidRDefault="00D23AFD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rPr>
                <w:rFonts w:eastAsia="Times New Roman" w:cs="Times New Roman"/>
                <w:sz w:val="18"/>
                <w:szCs w:val="18"/>
              </w:rPr>
            </w:pPr>
            <w:r w:rsidRPr="005D03C8">
              <w:rPr>
                <w:rFonts w:eastAsia="Times New Roman" w:cs="Times New Roman"/>
                <w:sz w:val="18"/>
                <w:szCs w:val="18"/>
              </w:rPr>
              <w:t xml:space="preserve">I.2. </w:t>
            </w:r>
            <w:r w:rsidR="00043D13" w:rsidRPr="005D03C8">
              <w:rPr>
                <w:rFonts w:eastAsia="Times New Roman" w:cs="Times New Roman"/>
                <w:sz w:val="18"/>
                <w:szCs w:val="18"/>
              </w:rPr>
              <w:t xml:space="preserve">Capacitação em </w:t>
            </w:r>
            <w:r w:rsidR="00556975">
              <w:rPr>
                <w:rFonts w:eastAsia="Times New Roman" w:cs="Times New Roman"/>
                <w:sz w:val="18"/>
                <w:szCs w:val="18"/>
              </w:rPr>
              <w:t>r</w:t>
            </w:r>
            <w:r w:rsidR="00043D13" w:rsidRPr="005D03C8">
              <w:rPr>
                <w:rFonts w:eastAsia="Times New Roman" w:cs="Times New Roman"/>
                <w:sz w:val="18"/>
                <w:szCs w:val="18"/>
              </w:rPr>
              <w:t xml:space="preserve">ecursos </w:t>
            </w:r>
            <w:r w:rsidR="00556975">
              <w:rPr>
                <w:rFonts w:eastAsia="Times New Roman" w:cs="Times New Roman"/>
                <w:sz w:val="18"/>
                <w:szCs w:val="18"/>
              </w:rPr>
              <w:t>h</w:t>
            </w:r>
            <w:r w:rsidR="00043D13" w:rsidRPr="005D03C8">
              <w:rPr>
                <w:rFonts w:eastAsia="Times New Roman" w:cs="Times New Roman"/>
                <w:sz w:val="18"/>
                <w:szCs w:val="18"/>
              </w:rPr>
              <w:t>ídricos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54FAA12B" w14:textId="0FE41C4B" w:rsidR="00D23AFD" w:rsidRPr="005D03C8" w:rsidRDefault="00043D13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D03C8">
              <w:rPr>
                <w:rFonts w:eastAsia="Times New Roman" w:cs="Times New Roman"/>
                <w:sz w:val="18"/>
                <w:szCs w:val="18"/>
              </w:rPr>
              <w:t>SAS/CCAPS</w:t>
            </w:r>
          </w:p>
        </w:tc>
        <w:tc>
          <w:tcPr>
            <w:tcW w:w="37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2E05E4C9" w14:textId="39500143" w:rsidR="00D23AFD" w:rsidRPr="00B440CB" w:rsidRDefault="00B440CB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rPr>
                <w:rFonts w:eastAsia="Times New Roman" w:cs="Times New Roman"/>
                <w:sz w:val="18"/>
                <w:szCs w:val="18"/>
              </w:rPr>
            </w:pPr>
            <w:r w:rsidRPr="00B440CB">
              <w:rPr>
                <w:rFonts w:eastAsia="Times New Roman" w:cs="Times New Roman"/>
                <w:sz w:val="18"/>
                <w:szCs w:val="18"/>
              </w:rPr>
              <w:t>Nota Técnica n</w:t>
            </w:r>
            <w:r w:rsidRPr="00B440CB">
              <w:rPr>
                <w:rFonts w:eastAsia="Times New Roman" w:cs="Times New Roman"/>
                <w:sz w:val="18"/>
                <w:szCs w:val="18"/>
                <w:vertAlign w:val="superscript"/>
              </w:rPr>
              <w:t>o</w:t>
            </w:r>
            <w:r w:rsidRPr="00B440CB">
              <w:rPr>
                <w:rFonts w:eastAsia="Times New Roman" w:cs="Times New Roman"/>
                <w:sz w:val="18"/>
                <w:szCs w:val="18"/>
              </w:rPr>
              <w:t xml:space="preserve"> 4/2018/CCAPS/SAS </w:t>
            </w:r>
            <w:r w:rsidR="00556975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 w:rsidRPr="00B440CB">
              <w:rPr>
                <w:rFonts w:eastAsia="Times New Roman" w:cs="Times New Roman"/>
                <w:sz w:val="18"/>
                <w:szCs w:val="18"/>
              </w:rPr>
              <w:t>(Doc. n</w:t>
            </w:r>
            <w:r w:rsidRPr="00B440CB">
              <w:rPr>
                <w:rFonts w:eastAsia="Times New Roman" w:cs="Times New Roman"/>
                <w:sz w:val="18"/>
                <w:szCs w:val="18"/>
                <w:vertAlign w:val="superscript"/>
              </w:rPr>
              <w:t>o</w:t>
            </w:r>
            <w:r w:rsidRPr="00B440CB">
              <w:rPr>
                <w:rFonts w:eastAsia="Times New Roman" w:cs="Times New Roman"/>
                <w:sz w:val="18"/>
                <w:szCs w:val="18"/>
              </w:rPr>
              <w:t xml:space="preserve"> 034426/2018)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3326B7A8" w14:textId="77777777" w:rsidR="00D23AFD" w:rsidRPr="00B440CB" w:rsidRDefault="00D23AFD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440CB">
              <w:rPr>
                <w:rFonts w:eastAsia="Times New Roman" w:cs="Times New Roman"/>
                <w:sz w:val="18"/>
                <w:szCs w:val="18"/>
              </w:rPr>
              <w:t>Atendeu</w:t>
            </w:r>
          </w:p>
        </w:tc>
      </w:tr>
      <w:tr w:rsidR="00BE1A62" w:rsidRPr="00BE1A62" w14:paraId="6603FE6C" w14:textId="77777777" w:rsidTr="00556975">
        <w:trPr>
          <w:trHeight w:val="510"/>
          <w:jc w:val="center"/>
        </w:trPr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60D6C28D" w14:textId="63D4F3CB" w:rsidR="00D23AFD" w:rsidRPr="00BE1A62" w:rsidRDefault="00D23AFD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rPr>
                <w:rFonts w:eastAsia="Times New Roman" w:cs="Times New Roman"/>
                <w:sz w:val="18"/>
                <w:szCs w:val="18"/>
              </w:rPr>
            </w:pPr>
            <w:r w:rsidRPr="00BE1A62">
              <w:rPr>
                <w:rFonts w:eastAsia="Times New Roman" w:cs="Times New Roman"/>
                <w:sz w:val="18"/>
                <w:szCs w:val="18"/>
              </w:rPr>
              <w:t>I.3. Contribuição para difusão de conhecimento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29F272AA" w14:textId="77777777" w:rsidR="00D23AFD" w:rsidRPr="00BE1A62" w:rsidRDefault="00D23AFD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1A62">
              <w:rPr>
                <w:rFonts w:eastAsia="Times New Roman" w:cs="Times New Roman"/>
                <w:sz w:val="18"/>
                <w:szCs w:val="18"/>
              </w:rPr>
              <w:t>SPR</w:t>
            </w:r>
          </w:p>
        </w:tc>
        <w:tc>
          <w:tcPr>
            <w:tcW w:w="37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6F7842E7" w14:textId="77777777" w:rsidR="00556975" w:rsidRDefault="00D23AFD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rPr>
                <w:rFonts w:eastAsia="Times New Roman" w:cs="Times New Roman"/>
                <w:sz w:val="18"/>
                <w:szCs w:val="18"/>
              </w:rPr>
            </w:pPr>
            <w:r w:rsidRPr="00BE1A62">
              <w:rPr>
                <w:rFonts w:eastAsia="Times New Roman" w:cs="Times New Roman"/>
                <w:sz w:val="18"/>
                <w:szCs w:val="18"/>
              </w:rPr>
              <w:t xml:space="preserve">Nota Técnica nº </w:t>
            </w:r>
            <w:r w:rsidR="005D03C8" w:rsidRPr="00BE1A62">
              <w:rPr>
                <w:rFonts w:eastAsia="Times New Roman" w:cs="Times New Roman"/>
                <w:sz w:val="18"/>
                <w:szCs w:val="18"/>
              </w:rPr>
              <w:t xml:space="preserve">21/2018/SPR </w:t>
            </w:r>
          </w:p>
          <w:p w14:paraId="5525BC9F" w14:textId="1BD257A0" w:rsidR="00D23AFD" w:rsidRPr="00BE1A62" w:rsidRDefault="00D23AFD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rPr>
                <w:rFonts w:eastAsia="Times New Roman" w:cs="Times New Roman"/>
                <w:sz w:val="18"/>
                <w:szCs w:val="18"/>
              </w:rPr>
            </w:pPr>
            <w:r w:rsidRPr="00BE1A62">
              <w:rPr>
                <w:rFonts w:eastAsia="Times New Roman" w:cs="Times New Roman"/>
                <w:sz w:val="18"/>
                <w:szCs w:val="18"/>
              </w:rPr>
              <w:t xml:space="preserve">(Doc. nº </w:t>
            </w:r>
            <w:r w:rsidR="005D03C8" w:rsidRPr="00BE1A62">
              <w:rPr>
                <w:rFonts w:eastAsia="Times New Roman" w:cs="Times New Roman"/>
                <w:sz w:val="18"/>
                <w:szCs w:val="18"/>
              </w:rPr>
              <w:t>029110/2018</w:t>
            </w:r>
            <w:r w:rsidRPr="00BE1A62"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23C209F0" w14:textId="2D704C97" w:rsidR="00D23AFD" w:rsidRPr="00BE1A62" w:rsidRDefault="005D03C8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1A62">
              <w:rPr>
                <w:rFonts w:eastAsia="Times New Roman" w:cs="Times New Roman"/>
                <w:sz w:val="18"/>
                <w:szCs w:val="18"/>
              </w:rPr>
              <w:t>78%</w:t>
            </w:r>
          </w:p>
        </w:tc>
      </w:tr>
      <w:tr w:rsidR="00BE1A62" w:rsidRPr="00BE1A62" w14:paraId="793F29F4" w14:textId="77777777" w:rsidTr="00556975">
        <w:trPr>
          <w:trHeight w:val="510"/>
          <w:jc w:val="center"/>
        </w:trPr>
        <w:tc>
          <w:tcPr>
            <w:tcW w:w="2552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424464F4" w14:textId="4A94F9A5" w:rsidR="00D23AFD" w:rsidRPr="00BE1A62" w:rsidRDefault="00D23AFD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rPr>
                <w:rFonts w:eastAsia="Times New Roman" w:cs="Times New Roman"/>
                <w:sz w:val="18"/>
                <w:szCs w:val="18"/>
              </w:rPr>
            </w:pPr>
            <w:r w:rsidRPr="00BE1A62">
              <w:rPr>
                <w:rFonts w:eastAsia="Times New Roman" w:cs="Times New Roman"/>
                <w:sz w:val="18"/>
                <w:szCs w:val="18"/>
              </w:rPr>
              <w:t>I.4. Prevenção de eventos hidrológicos críticos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54E1B7CF" w14:textId="77777777" w:rsidR="00D23AFD" w:rsidRPr="00BE1A62" w:rsidRDefault="00D23AFD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1A62">
              <w:rPr>
                <w:rFonts w:eastAsia="Times New Roman" w:cs="Times New Roman"/>
                <w:sz w:val="18"/>
                <w:szCs w:val="18"/>
              </w:rPr>
              <w:t>SGH</w:t>
            </w:r>
          </w:p>
        </w:tc>
        <w:tc>
          <w:tcPr>
            <w:tcW w:w="37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1E66FF37" w14:textId="77777777" w:rsidR="00556975" w:rsidRDefault="00D23AFD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rPr>
                <w:rFonts w:eastAsia="Times New Roman" w:cs="Times New Roman"/>
                <w:sz w:val="18"/>
                <w:szCs w:val="18"/>
              </w:rPr>
            </w:pPr>
            <w:r w:rsidRPr="00BE1A62">
              <w:rPr>
                <w:rFonts w:eastAsia="Times New Roman" w:cs="Times New Roman"/>
                <w:sz w:val="18"/>
                <w:szCs w:val="18"/>
              </w:rPr>
              <w:t xml:space="preserve">Nota Técnica nº </w:t>
            </w:r>
            <w:r w:rsidR="005D03C8" w:rsidRPr="00BE1A62">
              <w:rPr>
                <w:rFonts w:eastAsia="Times New Roman" w:cs="Times New Roman"/>
                <w:sz w:val="18"/>
                <w:szCs w:val="18"/>
              </w:rPr>
              <w:t xml:space="preserve">41/2018/SGH </w:t>
            </w:r>
          </w:p>
          <w:p w14:paraId="725571DD" w14:textId="6AC4E3E0" w:rsidR="00D23AFD" w:rsidRPr="00BE1A62" w:rsidRDefault="00D23AFD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rPr>
                <w:rFonts w:eastAsia="Times New Roman" w:cs="Times New Roman"/>
                <w:sz w:val="18"/>
                <w:szCs w:val="18"/>
              </w:rPr>
            </w:pPr>
            <w:r w:rsidRPr="00BE1A62">
              <w:rPr>
                <w:rFonts w:eastAsia="Times New Roman" w:cs="Times New Roman"/>
                <w:sz w:val="18"/>
                <w:szCs w:val="18"/>
              </w:rPr>
              <w:t xml:space="preserve">(Doc. nº </w:t>
            </w:r>
            <w:r w:rsidR="005D03C8" w:rsidRPr="00BE1A62">
              <w:rPr>
                <w:rFonts w:eastAsia="Times New Roman" w:cs="Times New Roman"/>
                <w:sz w:val="18"/>
                <w:szCs w:val="18"/>
              </w:rPr>
              <w:t>028492/2018</w:t>
            </w:r>
            <w:r w:rsidRPr="00BE1A62"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52FE1A2E" w14:textId="77777777" w:rsidR="00D23AFD" w:rsidRPr="00BE1A62" w:rsidRDefault="00D23AFD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1A62">
              <w:rPr>
                <w:rFonts w:eastAsia="Times New Roman" w:cs="Times New Roman"/>
                <w:sz w:val="18"/>
                <w:szCs w:val="18"/>
              </w:rPr>
              <w:t>Atendeu</w:t>
            </w:r>
          </w:p>
        </w:tc>
      </w:tr>
      <w:tr w:rsidR="00BE1A62" w:rsidRPr="00BE1A62" w14:paraId="74CB142D" w14:textId="77777777" w:rsidTr="003C6F11">
        <w:trPr>
          <w:trHeight w:val="510"/>
          <w:jc w:val="center"/>
        </w:trPr>
        <w:tc>
          <w:tcPr>
            <w:tcW w:w="2552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07396E47" w14:textId="77777777" w:rsidR="00D23AFD" w:rsidRPr="00BE1A62" w:rsidRDefault="00D23AF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41485E5A" w14:textId="77777777" w:rsidR="00D23AFD" w:rsidRPr="00BE1A62" w:rsidRDefault="00D23AFD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1A62">
              <w:rPr>
                <w:rFonts w:eastAsia="Times New Roman" w:cs="Times New Roman"/>
                <w:sz w:val="18"/>
                <w:szCs w:val="18"/>
              </w:rPr>
              <w:t>SOE</w:t>
            </w:r>
          </w:p>
        </w:tc>
        <w:tc>
          <w:tcPr>
            <w:tcW w:w="37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5EAE0F86" w14:textId="77777777" w:rsidR="00556975" w:rsidRDefault="00D23AFD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rPr>
                <w:rFonts w:eastAsia="Times New Roman" w:cs="Times New Roman"/>
                <w:sz w:val="18"/>
                <w:szCs w:val="18"/>
              </w:rPr>
            </w:pPr>
            <w:r w:rsidRPr="00BE1A62">
              <w:rPr>
                <w:rFonts w:eastAsia="Times New Roman" w:cs="Times New Roman"/>
                <w:sz w:val="18"/>
                <w:szCs w:val="18"/>
              </w:rPr>
              <w:t xml:space="preserve">Nota Técnica nº </w:t>
            </w:r>
            <w:r w:rsidR="005D03C8" w:rsidRPr="00BE1A62">
              <w:rPr>
                <w:rFonts w:eastAsia="Times New Roman" w:cs="Times New Roman"/>
                <w:sz w:val="18"/>
                <w:szCs w:val="18"/>
              </w:rPr>
              <w:t xml:space="preserve">5/2018/COVEC/SOE </w:t>
            </w:r>
          </w:p>
          <w:p w14:paraId="10588441" w14:textId="5155ABD6" w:rsidR="00D23AFD" w:rsidRPr="00BE1A62" w:rsidRDefault="00D23AFD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rPr>
                <w:rFonts w:eastAsia="Times New Roman" w:cs="Times New Roman"/>
                <w:sz w:val="18"/>
                <w:szCs w:val="18"/>
              </w:rPr>
            </w:pPr>
            <w:r w:rsidRPr="00BE1A62">
              <w:rPr>
                <w:rFonts w:eastAsia="Times New Roman" w:cs="Times New Roman"/>
                <w:sz w:val="18"/>
                <w:szCs w:val="18"/>
              </w:rPr>
              <w:t xml:space="preserve">(Doc. nº </w:t>
            </w:r>
            <w:r w:rsidR="005D03C8" w:rsidRPr="00BE1A62">
              <w:rPr>
                <w:rFonts w:eastAsia="Times New Roman" w:cs="Times New Roman"/>
                <w:sz w:val="18"/>
                <w:szCs w:val="18"/>
              </w:rPr>
              <w:t>032278/2018</w:t>
            </w:r>
            <w:r w:rsidRPr="00BE1A62"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2ED6781F" w14:textId="77777777" w:rsidR="00D23AFD" w:rsidRPr="00BE1A62" w:rsidRDefault="00D23AFD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1A62">
              <w:rPr>
                <w:rFonts w:eastAsia="Times New Roman" w:cs="Times New Roman"/>
                <w:sz w:val="18"/>
                <w:szCs w:val="18"/>
              </w:rPr>
              <w:t>Atendeu</w:t>
            </w:r>
          </w:p>
        </w:tc>
      </w:tr>
      <w:tr w:rsidR="00BE1A62" w:rsidRPr="00BE1A62" w14:paraId="6BC14EAA" w14:textId="77777777" w:rsidTr="003C6F11">
        <w:trPr>
          <w:trHeight w:val="510"/>
          <w:jc w:val="center"/>
        </w:trPr>
        <w:tc>
          <w:tcPr>
            <w:tcW w:w="2552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D1F72A" w14:textId="23CDBD38" w:rsidR="00D23AFD" w:rsidRPr="00BE1A62" w:rsidRDefault="00D23AFD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rPr>
                <w:rFonts w:eastAsia="Times New Roman" w:cs="Times New Roman"/>
                <w:sz w:val="18"/>
                <w:szCs w:val="18"/>
              </w:rPr>
            </w:pPr>
            <w:r w:rsidRPr="00BE1A62">
              <w:rPr>
                <w:rFonts w:eastAsia="Times New Roman" w:cs="Times New Roman"/>
                <w:sz w:val="18"/>
                <w:szCs w:val="18"/>
              </w:rPr>
              <w:t>I.5. Atuação para segurança de barragens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03C0A0" w14:textId="77777777" w:rsidR="00D23AFD" w:rsidRPr="00BE1A62" w:rsidRDefault="00D23AFD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1A62">
              <w:rPr>
                <w:rFonts w:eastAsia="Times New Roman" w:cs="Times New Roman"/>
                <w:sz w:val="18"/>
                <w:szCs w:val="18"/>
              </w:rPr>
              <w:t>SRE/COSER</w:t>
            </w:r>
          </w:p>
        </w:tc>
        <w:tc>
          <w:tcPr>
            <w:tcW w:w="371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1E3368" w14:textId="77777777" w:rsidR="00556975" w:rsidRDefault="00D23AFD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rPr>
                <w:rFonts w:eastAsia="Times New Roman" w:cs="Times New Roman"/>
                <w:sz w:val="18"/>
                <w:szCs w:val="18"/>
              </w:rPr>
            </w:pPr>
            <w:r w:rsidRPr="00BE1A62">
              <w:rPr>
                <w:rFonts w:eastAsia="Times New Roman" w:cs="Times New Roman"/>
                <w:sz w:val="18"/>
                <w:szCs w:val="18"/>
              </w:rPr>
              <w:t xml:space="preserve">Nota Técnica nº </w:t>
            </w:r>
            <w:r w:rsidR="00BE1A62" w:rsidRPr="00BE1A62">
              <w:rPr>
                <w:rFonts w:eastAsia="Times New Roman" w:cs="Times New Roman"/>
                <w:sz w:val="18"/>
                <w:szCs w:val="18"/>
              </w:rPr>
              <w:t xml:space="preserve">10/2018/COSER/SRE </w:t>
            </w:r>
          </w:p>
          <w:p w14:paraId="0A01A713" w14:textId="04FB5CA7" w:rsidR="00D23AFD" w:rsidRPr="00BE1A62" w:rsidRDefault="00D23AFD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rPr>
                <w:rFonts w:eastAsia="Times New Roman" w:cs="Times New Roman"/>
                <w:sz w:val="18"/>
                <w:szCs w:val="18"/>
              </w:rPr>
            </w:pPr>
            <w:r w:rsidRPr="00BE1A62">
              <w:rPr>
                <w:rFonts w:eastAsia="Times New Roman" w:cs="Times New Roman"/>
                <w:sz w:val="18"/>
                <w:szCs w:val="18"/>
              </w:rPr>
              <w:t>(Doc. n</w:t>
            </w:r>
            <w:r w:rsidRPr="00BE1A62">
              <w:rPr>
                <w:rFonts w:eastAsia="Times New Roman" w:cs="Times New Roman"/>
                <w:sz w:val="18"/>
                <w:szCs w:val="18"/>
                <w:vertAlign w:val="superscript"/>
              </w:rPr>
              <w:t>o</w:t>
            </w:r>
            <w:r w:rsidRPr="00BE1A62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BE1A62" w:rsidRPr="00BE1A62">
              <w:rPr>
                <w:rFonts w:eastAsia="Times New Roman" w:cs="Times New Roman"/>
                <w:sz w:val="18"/>
                <w:szCs w:val="18"/>
              </w:rPr>
              <w:t>030376/2018</w:t>
            </w:r>
            <w:r w:rsidRPr="00BE1A62"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C733B92" w14:textId="6BEF7297" w:rsidR="00D23AFD" w:rsidRPr="00BE1A62" w:rsidRDefault="00BE1A62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E1A62">
              <w:rPr>
                <w:rFonts w:eastAsia="Times New Roman" w:cs="Times New Roman"/>
                <w:sz w:val="18"/>
                <w:szCs w:val="18"/>
              </w:rPr>
              <w:t>98</w:t>
            </w:r>
            <w:r w:rsidR="00D23AFD" w:rsidRPr="00BE1A62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</w:tr>
    </w:tbl>
    <w:p w14:paraId="71F3CF0F" w14:textId="53A604E7" w:rsidR="00D23AFD" w:rsidRPr="00586B5F" w:rsidRDefault="00D23AFD" w:rsidP="00A32189">
      <w:pPr>
        <w:pStyle w:val="Recuodecorpodetexto2"/>
        <w:tabs>
          <w:tab w:val="left" w:pos="1418"/>
        </w:tabs>
        <w:spacing w:line="240" w:lineRule="auto"/>
        <w:ind w:left="0" w:right="-2"/>
        <w:jc w:val="both"/>
        <w:rPr>
          <w:rFonts w:eastAsia="Times New Roman" w:cs="Times New Roman"/>
          <w:sz w:val="18"/>
          <w:szCs w:val="18"/>
        </w:rPr>
      </w:pPr>
      <w:r w:rsidRPr="00586B5F">
        <w:rPr>
          <w:rFonts w:eastAsia="Times New Roman" w:cs="Times New Roman"/>
          <w:sz w:val="18"/>
          <w:szCs w:val="18"/>
        </w:rPr>
        <w:t xml:space="preserve">SFI: Superintendência de Fiscalização; SIP: Superintendência de Implementação de Programas e Projetos; </w:t>
      </w:r>
      <w:r w:rsidR="00586B5F" w:rsidRPr="00586B5F">
        <w:rPr>
          <w:rFonts w:eastAsia="Times New Roman" w:cs="Times New Roman"/>
          <w:sz w:val="18"/>
          <w:szCs w:val="18"/>
        </w:rPr>
        <w:t xml:space="preserve">SAS: Superintendência de Apoio ao SINGREH; </w:t>
      </w:r>
      <w:r w:rsidRPr="00586B5F">
        <w:rPr>
          <w:rFonts w:eastAsia="Times New Roman" w:cs="Times New Roman"/>
          <w:sz w:val="18"/>
          <w:szCs w:val="18"/>
        </w:rPr>
        <w:t>SPR: Superintendência de Planejamento de Recursos Hídricos; SGH: Superintendência de Gestão da Rede Hidrometeorológica; SOE: Superintendência de Operações e Eventos Críticos; SRE: Superintendência de Regulação.</w:t>
      </w:r>
    </w:p>
    <w:p w14:paraId="315B63AB" w14:textId="50AA3D38" w:rsidR="00D23AFD" w:rsidRPr="006A295A" w:rsidRDefault="00D23AFD" w:rsidP="00D23AFD">
      <w:pPr>
        <w:pStyle w:val="Paragrfo1"/>
        <w:numPr>
          <w:ilvl w:val="0"/>
          <w:numId w:val="12"/>
        </w:numPr>
        <w:ind w:left="0" w:firstLine="0"/>
      </w:pPr>
      <w:r w:rsidRPr="006A295A">
        <w:t xml:space="preserve">O estado de Mato Grosso atendeu parcialmente as metas de cooperação federativa, segundo os critérios e requisitos estabelecidos, </w:t>
      </w:r>
      <w:r w:rsidR="00DF29A5" w:rsidRPr="006A295A">
        <w:t>e integralmente as</w:t>
      </w:r>
      <w:r w:rsidR="00FC11F3" w:rsidRPr="006A295A">
        <w:t xml:space="preserve"> metas de gestão </w:t>
      </w:r>
      <w:r w:rsidR="00FC11F3" w:rsidRPr="006A295A">
        <w:lastRenderedPageBreak/>
        <w:t>de águas no âmbito do sistema estadual de recursos hídricos ao obter a aprovação pelo Conselho Estadual de Recursos Hídricos do novo Quadro de Metas do estado (Anexos III, IV e V)</w:t>
      </w:r>
      <w:r w:rsidRPr="006A295A">
        <w:t>.</w:t>
      </w:r>
    </w:p>
    <w:p w14:paraId="40E002BC" w14:textId="6977C4A2" w:rsidR="00D23AFD" w:rsidRPr="006A295A" w:rsidRDefault="00D23AFD" w:rsidP="00945EA8">
      <w:pPr>
        <w:pStyle w:val="Paragrfo1"/>
        <w:numPr>
          <w:ilvl w:val="0"/>
          <w:numId w:val="12"/>
        </w:numPr>
        <w:spacing w:after="120"/>
        <w:ind w:left="0" w:firstLine="0"/>
      </w:pPr>
      <w:r w:rsidRPr="006A295A">
        <w:t xml:space="preserve">Considerando a alínea </w:t>
      </w:r>
      <w:r w:rsidR="009F318B" w:rsidRPr="006A295A">
        <w:rPr>
          <w:i/>
        </w:rPr>
        <w:t>m</w:t>
      </w:r>
      <w:r w:rsidRPr="006A295A">
        <w:t xml:space="preserve"> do inciso II da Cláusula Terceira, reiterada pelo inciso IV da Cláusula Décima Segunda do Contrato nº </w:t>
      </w:r>
      <w:r w:rsidR="009F318B" w:rsidRPr="006A295A">
        <w:t>072/2017/ANA</w:t>
      </w:r>
      <w:r w:rsidRPr="006A295A">
        <w:t xml:space="preserve"> que condiciona a utilização dos recursos recebidos em ações de gerenciamento de recursos hídricos e de fortalecimento dos Sistemas Estadual de Gerenciamento de Recursos Hídricos, foi solicitado que os estados encaminhassem, como parte integrante ao Relatório Progestão </w:t>
      </w:r>
      <w:r w:rsidR="009F318B" w:rsidRPr="006A295A">
        <w:t>2017</w:t>
      </w:r>
      <w:r w:rsidRPr="006A295A">
        <w:t xml:space="preserve">, a forma de utilização </w:t>
      </w:r>
      <w:r w:rsidR="009F318B" w:rsidRPr="006A295A">
        <w:t>dos</w:t>
      </w:r>
      <w:r w:rsidRPr="006A295A">
        <w:t xml:space="preserve"> recursos</w:t>
      </w:r>
      <w:r w:rsidR="009F318B" w:rsidRPr="006A295A">
        <w:t xml:space="preserve"> repassados</w:t>
      </w:r>
      <w:r w:rsidRPr="006A295A">
        <w:t>.</w:t>
      </w:r>
      <w:r w:rsidR="00945EA8" w:rsidRPr="006A295A">
        <w:t xml:space="preserve"> </w:t>
      </w:r>
      <w:r w:rsidRPr="006A295A">
        <w:t>O estado de Mato Grosso informou a aplicação dos recursos recebidos conforme</w:t>
      </w:r>
      <w:r w:rsidR="00725412" w:rsidRPr="006A295A">
        <w:t xml:space="preserve"> o</w:t>
      </w:r>
      <w:r w:rsidRPr="006A295A">
        <w:t xml:space="preserve"> </w:t>
      </w:r>
      <w:r w:rsidRPr="006A295A">
        <w:rPr>
          <w:b/>
        </w:rPr>
        <w:t>Quadro 2</w:t>
      </w:r>
      <w:r w:rsidRPr="006A295A">
        <w:t xml:space="preserve"> e</w:t>
      </w:r>
      <w:r w:rsidR="00725412" w:rsidRPr="006A295A">
        <w:t xml:space="preserve"> a</w:t>
      </w:r>
      <w:r w:rsidRPr="006A295A">
        <w:t xml:space="preserve"> </w:t>
      </w:r>
      <w:r w:rsidRPr="006A295A">
        <w:rPr>
          <w:b/>
        </w:rPr>
        <w:t>Figura 1</w:t>
      </w:r>
      <w:r w:rsidRPr="006A295A">
        <w:t xml:space="preserve"> a seguir.</w:t>
      </w:r>
      <w:r w:rsidR="002D37B3" w:rsidRPr="006A295A">
        <w:t xml:space="preserve"> Observa-se que</w:t>
      </w:r>
      <w:r w:rsidR="006F7F47" w:rsidRPr="006A295A">
        <w:t>, em 2017, cerca de 63% dos recursos do Progestão foram investido</w:t>
      </w:r>
      <w:r w:rsidR="00D00F43" w:rsidRPr="006A295A">
        <w:t>s</w:t>
      </w:r>
      <w:r w:rsidR="002D37B3" w:rsidRPr="006A295A">
        <w:t xml:space="preserve"> </w:t>
      </w:r>
      <w:r w:rsidR="006F7F47" w:rsidRPr="006A295A">
        <w:t>n</w:t>
      </w:r>
      <w:r w:rsidR="002D37B3" w:rsidRPr="006A295A">
        <w:t>a contratação de planos de bacias</w:t>
      </w:r>
      <w:r w:rsidR="006F7F47" w:rsidRPr="006A295A">
        <w:t xml:space="preserve"> e na manutenção das estações de monitoramento hidrometeorológico do estado.</w:t>
      </w:r>
      <w:r w:rsidR="002D37B3" w:rsidRPr="006A295A">
        <w:t xml:space="preserve"> </w:t>
      </w:r>
    </w:p>
    <w:p w14:paraId="6CD5B232" w14:textId="647A1716" w:rsidR="00D23AFD" w:rsidRPr="006A295A" w:rsidRDefault="00D23AFD" w:rsidP="00D23AFD">
      <w:pPr>
        <w:pStyle w:val="Recuodecorpodetexto2"/>
        <w:tabs>
          <w:tab w:val="left" w:pos="1418"/>
        </w:tabs>
        <w:spacing w:line="240" w:lineRule="auto"/>
        <w:ind w:left="0"/>
        <w:jc w:val="both"/>
        <w:rPr>
          <w:rFonts w:eastAsia="Times New Roman" w:cs="Times New Roman"/>
          <w:szCs w:val="20"/>
        </w:rPr>
      </w:pPr>
      <w:r w:rsidRPr="006A295A">
        <w:rPr>
          <w:rFonts w:eastAsia="Times New Roman" w:cs="Times New Roman"/>
          <w:b/>
          <w:szCs w:val="20"/>
        </w:rPr>
        <w:t>Quadro 2.</w:t>
      </w:r>
      <w:r w:rsidRPr="006A295A">
        <w:rPr>
          <w:rFonts w:eastAsia="Times New Roman" w:cs="Times New Roman"/>
          <w:szCs w:val="20"/>
        </w:rPr>
        <w:t xml:space="preserve"> Aplicação dos recursos do Progestão em Mato Grosso até 201</w:t>
      </w:r>
      <w:r w:rsidR="009F318B" w:rsidRPr="006A295A">
        <w:rPr>
          <w:rFonts w:eastAsia="Times New Roman" w:cs="Times New Roman"/>
          <w:szCs w:val="20"/>
        </w:rPr>
        <w:t>7</w:t>
      </w:r>
      <w:r w:rsidRPr="006A295A">
        <w:rPr>
          <w:rFonts w:eastAsia="Times New Roman" w:cs="Times New Roman"/>
          <w:szCs w:val="20"/>
        </w:rPr>
        <w:t>.</w:t>
      </w:r>
    </w:p>
    <w:tbl>
      <w:tblPr>
        <w:tblStyle w:val="Tabelacomgrade"/>
        <w:tblW w:w="9356" w:type="dxa"/>
        <w:jc w:val="center"/>
        <w:tblBorders>
          <w:top w:val="single" w:sz="12" w:space="0" w:color="7F7F7F" w:themeColor="text1" w:themeTint="80"/>
          <w:left w:val="none" w:sz="0" w:space="0" w:color="auto"/>
          <w:bottom w:val="single" w:sz="12" w:space="0" w:color="7F7F7F" w:themeColor="text1" w:themeTint="80"/>
          <w:right w:val="none" w:sz="0" w:space="0" w:color="auto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695"/>
        <w:gridCol w:w="1553"/>
        <w:gridCol w:w="1554"/>
        <w:gridCol w:w="1554"/>
      </w:tblGrid>
      <w:tr w:rsidR="006A295A" w:rsidRPr="006A295A" w14:paraId="1F51162A" w14:textId="77777777" w:rsidTr="003C6F11">
        <w:trPr>
          <w:trHeight w:val="300"/>
          <w:tblHeader/>
          <w:jc w:val="center"/>
        </w:trPr>
        <w:tc>
          <w:tcPr>
            <w:tcW w:w="4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22871" w14:textId="77777777" w:rsidR="009F318B" w:rsidRPr="006A295A" w:rsidRDefault="009F318B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rPr>
                <w:rFonts w:eastAsia="Times New Roman" w:cs="Times New Roman"/>
                <w:b/>
                <w:sz w:val="18"/>
                <w:szCs w:val="18"/>
              </w:rPr>
            </w:pPr>
            <w:r w:rsidRPr="006A295A">
              <w:rPr>
                <w:rFonts w:eastAsia="Times New Roman" w:cs="Times New Roman"/>
                <w:b/>
                <w:sz w:val="18"/>
                <w:szCs w:val="18"/>
              </w:rPr>
              <w:t>DISCRIMINAÇÃO DA DESPESA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4FB2" w14:textId="042223BC" w:rsidR="009F318B" w:rsidRPr="006A295A" w:rsidRDefault="009F318B" w:rsidP="00AE4879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right"/>
              <w:rPr>
                <w:rFonts w:eastAsia="Times New Roman" w:cs="Times New Roman"/>
                <w:b/>
                <w:sz w:val="18"/>
                <w:szCs w:val="18"/>
              </w:rPr>
            </w:pPr>
            <w:r w:rsidRPr="006A295A">
              <w:rPr>
                <w:rFonts w:eastAsia="Times New Roman" w:cs="Times New Roman"/>
                <w:b/>
                <w:sz w:val="18"/>
                <w:szCs w:val="18"/>
              </w:rPr>
              <w:t xml:space="preserve"> Até 2016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C0E93" w14:textId="2CC8A493" w:rsidR="009F318B" w:rsidRPr="006A295A" w:rsidRDefault="009F318B" w:rsidP="00AE4879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right"/>
              <w:rPr>
                <w:rFonts w:eastAsia="Times New Roman" w:cs="Times New Roman"/>
                <w:b/>
                <w:sz w:val="18"/>
                <w:szCs w:val="18"/>
              </w:rPr>
            </w:pPr>
            <w:r w:rsidRPr="006A295A">
              <w:rPr>
                <w:rFonts w:eastAsia="Times New Roman" w:cs="Times New Roman"/>
                <w:b/>
                <w:sz w:val="18"/>
                <w:szCs w:val="18"/>
              </w:rPr>
              <w:t>2017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5D173B" w14:textId="77777777" w:rsidR="009F318B" w:rsidRPr="006A295A" w:rsidRDefault="009F318B" w:rsidP="00AE4879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right"/>
              <w:rPr>
                <w:rFonts w:eastAsia="Times New Roman" w:cs="Times New Roman"/>
                <w:b/>
                <w:sz w:val="18"/>
                <w:szCs w:val="18"/>
              </w:rPr>
            </w:pPr>
            <w:r w:rsidRPr="006A295A">
              <w:rPr>
                <w:rFonts w:eastAsia="Times New Roman" w:cs="Times New Roman"/>
                <w:b/>
                <w:sz w:val="18"/>
                <w:szCs w:val="18"/>
              </w:rPr>
              <w:t>TOTAL</w:t>
            </w:r>
          </w:p>
        </w:tc>
      </w:tr>
      <w:tr w:rsidR="006A295A" w:rsidRPr="006A295A" w14:paraId="7B7AB2BC" w14:textId="77777777" w:rsidTr="003C6F11">
        <w:trPr>
          <w:trHeight w:val="312"/>
          <w:jc w:val="center"/>
        </w:trPr>
        <w:tc>
          <w:tcPr>
            <w:tcW w:w="4695" w:type="dxa"/>
            <w:tcBorders>
              <w:top w:val="single" w:sz="8" w:space="0" w:color="auto"/>
              <w:left w:val="nil"/>
              <w:bottom w:val="dotted" w:sz="4" w:space="0" w:color="7F7F7F" w:themeColor="text1" w:themeTint="80"/>
              <w:right w:val="single" w:sz="6" w:space="0" w:color="auto"/>
            </w:tcBorders>
            <w:noWrap/>
            <w:vAlign w:val="center"/>
            <w:hideMark/>
          </w:tcPr>
          <w:p w14:paraId="04CC1A09" w14:textId="77777777" w:rsidR="00C74540" w:rsidRPr="006A295A" w:rsidRDefault="00C74540" w:rsidP="00C74540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Diárias e passagens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6" w:space="0" w:color="auto"/>
              <w:bottom w:val="dotted" w:sz="4" w:space="0" w:color="7F7F7F" w:themeColor="text1" w:themeTint="80"/>
              <w:right w:val="single" w:sz="6" w:space="0" w:color="auto"/>
            </w:tcBorders>
            <w:vAlign w:val="center"/>
          </w:tcPr>
          <w:p w14:paraId="250F7767" w14:textId="7369CE6B" w:rsidR="00C74540" w:rsidRPr="006A295A" w:rsidRDefault="00C74540" w:rsidP="00AE4879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262.261,62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6" w:space="0" w:color="auto"/>
              <w:bottom w:val="dotted" w:sz="4" w:space="0" w:color="7F7F7F" w:themeColor="text1" w:themeTint="80"/>
              <w:right w:val="single" w:sz="6" w:space="0" w:color="auto"/>
            </w:tcBorders>
            <w:vAlign w:val="center"/>
          </w:tcPr>
          <w:p w14:paraId="5D6483BB" w14:textId="30AA929F" w:rsidR="00C74540" w:rsidRPr="006A295A" w:rsidRDefault="00C74540" w:rsidP="00AE4879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175.468,35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6" w:space="0" w:color="auto"/>
              <w:bottom w:val="dotted" w:sz="4" w:space="0" w:color="7F7F7F" w:themeColor="text1" w:themeTint="80"/>
              <w:right w:val="nil"/>
            </w:tcBorders>
            <w:vAlign w:val="center"/>
            <w:hideMark/>
          </w:tcPr>
          <w:p w14:paraId="33C72F9F" w14:textId="1AC7980F" w:rsidR="00C74540" w:rsidRPr="006A295A" w:rsidRDefault="00C74540" w:rsidP="00AE4879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437.729,97</w:t>
            </w:r>
          </w:p>
        </w:tc>
      </w:tr>
      <w:tr w:rsidR="006A295A" w:rsidRPr="006A295A" w14:paraId="5D83CC2B" w14:textId="77777777" w:rsidTr="0000218C">
        <w:trPr>
          <w:trHeight w:val="283"/>
          <w:jc w:val="center"/>
        </w:trPr>
        <w:tc>
          <w:tcPr>
            <w:tcW w:w="4695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6" w:space="0" w:color="auto"/>
            </w:tcBorders>
            <w:noWrap/>
            <w:vAlign w:val="center"/>
            <w:hideMark/>
          </w:tcPr>
          <w:p w14:paraId="2D27DD8B" w14:textId="77777777" w:rsidR="00C74540" w:rsidRPr="006A295A" w:rsidRDefault="00C74540" w:rsidP="00C74540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Material de consumo</w:t>
            </w:r>
          </w:p>
        </w:tc>
        <w:tc>
          <w:tcPr>
            <w:tcW w:w="1553" w:type="dxa"/>
            <w:tcBorders>
              <w:top w:val="dotted" w:sz="4" w:space="0" w:color="7F7F7F" w:themeColor="text1" w:themeTint="80"/>
              <w:left w:val="single" w:sz="6" w:space="0" w:color="auto"/>
              <w:bottom w:val="dotted" w:sz="4" w:space="0" w:color="7F7F7F" w:themeColor="text1" w:themeTint="80"/>
              <w:right w:val="single" w:sz="6" w:space="0" w:color="auto"/>
            </w:tcBorders>
            <w:vAlign w:val="center"/>
          </w:tcPr>
          <w:p w14:paraId="6D6AF216" w14:textId="734A42D1" w:rsidR="00C74540" w:rsidRPr="006A295A" w:rsidRDefault="00C74540" w:rsidP="00AE4879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63.240,36</w:t>
            </w:r>
          </w:p>
        </w:tc>
        <w:tc>
          <w:tcPr>
            <w:tcW w:w="1554" w:type="dxa"/>
            <w:tcBorders>
              <w:top w:val="dotted" w:sz="4" w:space="0" w:color="7F7F7F" w:themeColor="text1" w:themeTint="80"/>
              <w:left w:val="single" w:sz="6" w:space="0" w:color="auto"/>
              <w:bottom w:val="dotted" w:sz="4" w:space="0" w:color="7F7F7F" w:themeColor="text1" w:themeTint="80"/>
              <w:right w:val="single" w:sz="6" w:space="0" w:color="auto"/>
            </w:tcBorders>
            <w:vAlign w:val="center"/>
          </w:tcPr>
          <w:p w14:paraId="3AD638F8" w14:textId="1EBA7BD5" w:rsidR="00C74540" w:rsidRPr="006A295A" w:rsidRDefault="0000218C" w:rsidP="00AE4879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--</w:t>
            </w:r>
          </w:p>
        </w:tc>
        <w:tc>
          <w:tcPr>
            <w:tcW w:w="1554" w:type="dxa"/>
            <w:tcBorders>
              <w:top w:val="dotted" w:sz="4" w:space="0" w:color="7F7F7F" w:themeColor="text1" w:themeTint="80"/>
              <w:left w:val="single" w:sz="6" w:space="0" w:color="auto"/>
              <w:bottom w:val="dotted" w:sz="4" w:space="0" w:color="7F7F7F" w:themeColor="text1" w:themeTint="80"/>
              <w:right w:val="nil"/>
            </w:tcBorders>
            <w:vAlign w:val="center"/>
          </w:tcPr>
          <w:p w14:paraId="53F0F214" w14:textId="02F23C3F" w:rsidR="00C74540" w:rsidRPr="006A295A" w:rsidRDefault="00C74540" w:rsidP="00AE4879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63240,36</w:t>
            </w:r>
          </w:p>
        </w:tc>
      </w:tr>
      <w:tr w:rsidR="006A295A" w:rsidRPr="006A295A" w14:paraId="09DD3F52" w14:textId="77777777" w:rsidTr="0000218C">
        <w:trPr>
          <w:trHeight w:val="283"/>
          <w:jc w:val="center"/>
        </w:trPr>
        <w:tc>
          <w:tcPr>
            <w:tcW w:w="4695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6" w:space="0" w:color="auto"/>
            </w:tcBorders>
            <w:noWrap/>
            <w:vAlign w:val="center"/>
            <w:hideMark/>
          </w:tcPr>
          <w:p w14:paraId="243C84D6" w14:textId="77777777" w:rsidR="00C74540" w:rsidRPr="006A295A" w:rsidRDefault="00C74540" w:rsidP="00C74540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Equipamento e material permanente</w:t>
            </w:r>
          </w:p>
        </w:tc>
        <w:tc>
          <w:tcPr>
            <w:tcW w:w="1553" w:type="dxa"/>
            <w:tcBorders>
              <w:top w:val="dotted" w:sz="4" w:space="0" w:color="7F7F7F" w:themeColor="text1" w:themeTint="80"/>
              <w:left w:val="single" w:sz="6" w:space="0" w:color="auto"/>
              <w:bottom w:val="dotted" w:sz="4" w:space="0" w:color="7F7F7F" w:themeColor="text1" w:themeTint="80"/>
              <w:right w:val="single" w:sz="6" w:space="0" w:color="auto"/>
            </w:tcBorders>
            <w:vAlign w:val="center"/>
          </w:tcPr>
          <w:p w14:paraId="40C0B8D8" w14:textId="2798DED7" w:rsidR="00C74540" w:rsidRPr="006A295A" w:rsidRDefault="00C74540" w:rsidP="00AE4879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3.185,27</w:t>
            </w:r>
          </w:p>
        </w:tc>
        <w:tc>
          <w:tcPr>
            <w:tcW w:w="1554" w:type="dxa"/>
            <w:tcBorders>
              <w:top w:val="dotted" w:sz="4" w:space="0" w:color="7F7F7F" w:themeColor="text1" w:themeTint="80"/>
              <w:left w:val="single" w:sz="6" w:space="0" w:color="auto"/>
              <w:bottom w:val="dotted" w:sz="4" w:space="0" w:color="7F7F7F" w:themeColor="text1" w:themeTint="80"/>
              <w:right w:val="single" w:sz="6" w:space="0" w:color="auto"/>
            </w:tcBorders>
            <w:vAlign w:val="center"/>
          </w:tcPr>
          <w:p w14:paraId="3C800BAA" w14:textId="3AF22AEA" w:rsidR="00C74540" w:rsidRPr="006A295A" w:rsidRDefault="00C74540" w:rsidP="00AE4879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108.563,00</w:t>
            </w:r>
          </w:p>
        </w:tc>
        <w:tc>
          <w:tcPr>
            <w:tcW w:w="1554" w:type="dxa"/>
            <w:tcBorders>
              <w:top w:val="dotted" w:sz="4" w:space="0" w:color="7F7F7F" w:themeColor="text1" w:themeTint="80"/>
              <w:left w:val="single" w:sz="6" w:space="0" w:color="auto"/>
              <w:bottom w:val="dotted" w:sz="4" w:space="0" w:color="7F7F7F" w:themeColor="text1" w:themeTint="80"/>
              <w:right w:val="nil"/>
            </w:tcBorders>
            <w:vAlign w:val="center"/>
          </w:tcPr>
          <w:p w14:paraId="6A0CD892" w14:textId="77651731" w:rsidR="00C74540" w:rsidRPr="006A295A" w:rsidRDefault="00C74540" w:rsidP="00AE4879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111.748,27</w:t>
            </w:r>
          </w:p>
        </w:tc>
      </w:tr>
      <w:tr w:rsidR="006A295A" w:rsidRPr="006A295A" w14:paraId="066A8B2F" w14:textId="77777777" w:rsidTr="0000218C">
        <w:trPr>
          <w:trHeight w:val="343"/>
          <w:jc w:val="center"/>
        </w:trPr>
        <w:tc>
          <w:tcPr>
            <w:tcW w:w="4695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6" w:space="0" w:color="auto"/>
            </w:tcBorders>
            <w:noWrap/>
            <w:vAlign w:val="center"/>
          </w:tcPr>
          <w:p w14:paraId="46288E8C" w14:textId="34184126" w:rsidR="00C74540" w:rsidRPr="006A295A" w:rsidRDefault="00C74540" w:rsidP="00C74540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Contratação de planos de bacias hidrográficas</w:t>
            </w:r>
          </w:p>
        </w:tc>
        <w:tc>
          <w:tcPr>
            <w:tcW w:w="1553" w:type="dxa"/>
            <w:tcBorders>
              <w:top w:val="dotted" w:sz="4" w:space="0" w:color="7F7F7F" w:themeColor="text1" w:themeTint="80"/>
              <w:left w:val="single" w:sz="6" w:space="0" w:color="auto"/>
              <w:bottom w:val="dotted" w:sz="4" w:space="0" w:color="7F7F7F" w:themeColor="text1" w:themeTint="80"/>
              <w:right w:val="single" w:sz="6" w:space="0" w:color="auto"/>
            </w:tcBorders>
            <w:vAlign w:val="center"/>
          </w:tcPr>
          <w:p w14:paraId="1CF17D35" w14:textId="52B2DC04" w:rsidR="00C74540" w:rsidRPr="006A295A" w:rsidRDefault="0000218C" w:rsidP="00AE4879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--</w:t>
            </w:r>
          </w:p>
        </w:tc>
        <w:tc>
          <w:tcPr>
            <w:tcW w:w="1554" w:type="dxa"/>
            <w:tcBorders>
              <w:top w:val="dotted" w:sz="4" w:space="0" w:color="7F7F7F" w:themeColor="text1" w:themeTint="80"/>
              <w:left w:val="single" w:sz="6" w:space="0" w:color="auto"/>
              <w:bottom w:val="dotted" w:sz="4" w:space="0" w:color="7F7F7F" w:themeColor="text1" w:themeTint="80"/>
              <w:right w:val="single" w:sz="6" w:space="0" w:color="auto"/>
            </w:tcBorders>
            <w:vAlign w:val="center"/>
          </w:tcPr>
          <w:p w14:paraId="775D26C1" w14:textId="7BCA6DEC" w:rsidR="00C74540" w:rsidRPr="006A295A" w:rsidRDefault="00C74540" w:rsidP="00AE4879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650.000,00</w:t>
            </w:r>
          </w:p>
        </w:tc>
        <w:tc>
          <w:tcPr>
            <w:tcW w:w="1554" w:type="dxa"/>
            <w:tcBorders>
              <w:top w:val="dotted" w:sz="4" w:space="0" w:color="7F7F7F" w:themeColor="text1" w:themeTint="80"/>
              <w:left w:val="single" w:sz="6" w:space="0" w:color="auto"/>
              <w:bottom w:val="dotted" w:sz="4" w:space="0" w:color="7F7F7F" w:themeColor="text1" w:themeTint="80"/>
              <w:right w:val="nil"/>
            </w:tcBorders>
            <w:vAlign w:val="center"/>
          </w:tcPr>
          <w:p w14:paraId="4BA4A569" w14:textId="1FE7F930" w:rsidR="00C74540" w:rsidRPr="006A295A" w:rsidRDefault="00C74540" w:rsidP="00AE4879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650.000,00</w:t>
            </w:r>
          </w:p>
        </w:tc>
      </w:tr>
      <w:tr w:rsidR="006A295A" w:rsidRPr="006A295A" w14:paraId="7FB953FC" w14:textId="77777777" w:rsidTr="0000218C">
        <w:trPr>
          <w:trHeight w:val="277"/>
          <w:jc w:val="center"/>
        </w:trPr>
        <w:tc>
          <w:tcPr>
            <w:tcW w:w="4695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6" w:space="0" w:color="auto"/>
            </w:tcBorders>
            <w:noWrap/>
            <w:vAlign w:val="center"/>
            <w:hideMark/>
          </w:tcPr>
          <w:p w14:paraId="07D2DDF2" w14:textId="77777777" w:rsidR="00C74540" w:rsidRPr="006A295A" w:rsidRDefault="00C74540" w:rsidP="00C74540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Manutenção das estações de monitoramento</w:t>
            </w:r>
          </w:p>
        </w:tc>
        <w:tc>
          <w:tcPr>
            <w:tcW w:w="1553" w:type="dxa"/>
            <w:tcBorders>
              <w:top w:val="dotted" w:sz="4" w:space="0" w:color="7F7F7F" w:themeColor="text1" w:themeTint="80"/>
              <w:left w:val="single" w:sz="6" w:space="0" w:color="auto"/>
              <w:bottom w:val="dotted" w:sz="4" w:space="0" w:color="7F7F7F" w:themeColor="text1" w:themeTint="80"/>
              <w:right w:val="single" w:sz="6" w:space="0" w:color="auto"/>
            </w:tcBorders>
            <w:vAlign w:val="center"/>
          </w:tcPr>
          <w:p w14:paraId="3F994662" w14:textId="7D97E7E6" w:rsidR="00C74540" w:rsidRPr="006A295A" w:rsidRDefault="00C74540" w:rsidP="00AE4879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92.523,50</w:t>
            </w:r>
          </w:p>
        </w:tc>
        <w:tc>
          <w:tcPr>
            <w:tcW w:w="1554" w:type="dxa"/>
            <w:tcBorders>
              <w:top w:val="dotted" w:sz="4" w:space="0" w:color="7F7F7F" w:themeColor="text1" w:themeTint="80"/>
              <w:left w:val="single" w:sz="6" w:space="0" w:color="auto"/>
              <w:bottom w:val="dotted" w:sz="4" w:space="0" w:color="7F7F7F" w:themeColor="text1" w:themeTint="80"/>
              <w:right w:val="single" w:sz="6" w:space="0" w:color="auto"/>
            </w:tcBorders>
            <w:vAlign w:val="center"/>
          </w:tcPr>
          <w:p w14:paraId="762E03A7" w14:textId="213505FC" w:rsidR="00C74540" w:rsidRPr="006A295A" w:rsidRDefault="00C74540" w:rsidP="00AE4879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456.344,70</w:t>
            </w:r>
          </w:p>
        </w:tc>
        <w:tc>
          <w:tcPr>
            <w:tcW w:w="1554" w:type="dxa"/>
            <w:tcBorders>
              <w:top w:val="dotted" w:sz="4" w:space="0" w:color="7F7F7F" w:themeColor="text1" w:themeTint="80"/>
              <w:left w:val="single" w:sz="6" w:space="0" w:color="auto"/>
              <w:bottom w:val="dotted" w:sz="4" w:space="0" w:color="7F7F7F" w:themeColor="text1" w:themeTint="80"/>
              <w:right w:val="nil"/>
            </w:tcBorders>
            <w:vAlign w:val="center"/>
          </w:tcPr>
          <w:p w14:paraId="662049BA" w14:textId="0A335FA1" w:rsidR="00C74540" w:rsidRPr="006A295A" w:rsidRDefault="00C74540" w:rsidP="00AE4879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548.868,20</w:t>
            </w:r>
          </w:p>
        </w:tc>
      </w:tr>
      <w:tr w:rsidR="006A295A" w:rsidRPr="006A295A" w14:paraId="3BF65948" w14:textId="77777777" w:rsidTr="0000218C">
        <w:trPr>
          <w:trHeight w:val="283"/>
          <w:jc w:val="center"/>
        </w:trPr>
        <w:tc>
          <w:tcPr>
            <w:tcW w:w="4695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6" w:space="0" w:color="auto"/>
            </w:tcBorders>
            <w:noWrap/>
          </w:tcPr>
          <w:p w14:paraId="78BB1E87" w14:textId="36A93FAE" w:rsidR="00C74540" w:rsidRPr="006A295A" w:rsidRDefault="00C74540" w:rsidP="00C74540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Despesas realizadas com comitês e CERH</w:t>
            </w:r>
          </w:p>
        </w:tc>
        <w:tc>
          <w:tcPr>
            <w:tcW w:w="1553" w:type="dxa"/>
            <w:tcBorders>
              <w:top w:val="dotted" w:sz="4" w:space="0" w:color="7F7F7F" w:themeColor="text1" w:themeTint="80"/>
              <w:left w:val="single" w:sz="6" w:space="0" w:color="auto"/>
              <w:bottom w:val="dotted" w:sz="4" w:space="0" w:color="7F7F7F" w:themeColor="text1" w:themeTint="80"/>
              <w:right w:val="single" w:sz="6" w:space="0" w:color="auto"/>
            </w:tcBorders>
            <w:vAlign w:val="center"/>
          </w:tcPr>
          <w:p w14:paraId="3D8F07FF" w14:textId="4C10E6A5" w:rsidR="00C74540" w:rsidRPr="006A295A" w:rsidRDefault="00C74540" w:rsidP="00AE4879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dotted" w:sz="4" w:space="0" w:color="7F7F7F" w:themeColor="text1" w:themeTint="80"/>
              <w:left w:val="single" w:sz="6" w:space="0" w:color="auto"/>
              <w:bottom w:val="dotted" w:sz="4" w:space="0" w:color="7F7F7F" w:themeColor="text1" w:themeTint="80"/>
              <w:right w:val="single" w:sz="6" w:space="0" w:color="auto"/>
            </w:tcBorders>
            <w:vAlign w:val="center"/>
          </w:tcPr>
          <w:p w14:paraId="33328B4B" w14:textId="3F62D325" w:rsidR="00C74540" w:rsidRPr="006A295A" w:rsidRDefault="00C74540" w:rsidP="00AE4879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44.040,00</w:t>
            </w:r>
          </w:p>
        </w:tc>
        <w:tc>
          <w:tcPr>
            <w:tcW w:w="1554" w:type="dxa"/>
            <w:tcBorders>
              <w:top w:val="dotted" w:sz="4" w:space="0" w:color="7F7F7F" w:themeColor="text1" w:themeTint="80"/>
              <w:left w:val="single" w:sz="6" w:space="0" w:color="auto"/>
              <w:bottom w:val="dotted" w:sz="4" w:space="0" w:color="7F7F7F" w:themeColor="text1" w:themeTint="80"/>
              <w:right w:val="nil"/>
            </w:tcBorders>
            <w:vAlign w:val="center"/>
          </w:tcPr>
          <w:p w14:paraId="351684ED" w14:textId="4D4B0397" w:rsidR="00C74540" w:rsidRPr="006A295A" w:rsidRDefault="00C74540" w:rsidP="00AE4879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44.040,00</w:t>
            </w:r>
          </w:p>
        </w:tc>
      </w:tr>
      <w:tr w:rsidR="006A295A" w:rsidRPr="006A295A" w14:paraId="0653C2B1" w14:textId="77777777" w:rsidTr="0000218C">
        <w:trPr>
          <w:trHeight w:val="283"/>
          <w:jc w:val="center"/>
        </w:trPr>
        <w:tc>
          <w:tcPr>
            <w:tcW w:w="4695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6" w:space="0" w:color="auto"/>
            </w:tcBorders>
            <w:noWrap/>
            <w:vAlign w:val="center"/>
            <w:hideMark/>
          </w:tcPr>
          <w:p w14:paraId="03D7EE93" w14:textId="2758E1A5" w:rsidR="00C74540" w:rsidRPr="006A295A" w:rsidRDefault="00C74540" w:rsidP="00C74540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Ações de capacitação e treinamento</w:t>
            </w:r>
          </w:p>
        </w:tc>
        <w:tc>
          <w:tcPr>
            <w:tcW w:w="1553" w:type="dxa"/>
            <w:tcBorders>
              <w:top w:val="dotted" w:sz="4" w:space="0" w:color="7F7F7F" w:themeColor="text1" w:themeTint="80"/>
              <w:left w:val="single" w:sz="6" w:space="0" w:color="auto"/>
              <w:bottom w:val="dotted" w:sz="4" w:space="0" w:color="7F7F7F" w:themeColor="text1" w:themeTint="80"/>
              <w:right w:val="single" w:sz="6" w:space="0" w:color="auto"/>
            </w:tcBorders>
            <w:vAlign w:val="center"/>
          </w:tcPr>
          <w:p w14:paraId="0DE832FB" w14:textId="07A25E18" w:rsidR="00C74540" w:rsidRPr="006A295A" w:rsidRDefault="00C74540" w:rsidP="00AE4879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2.400,00</w:t>
            </w:r>
          </w:p>
        </w:tc>
        <w:tc>
          <w:tcPr>
            <w:tcW w:w="1554" w:type="dxa"/>
            <w:tcBorders>
              <w:top w:val="dotted" w:sz="4" w:space="0" w:color="7F7F7F" w:themeColor="text1" w:themeTint="80"/>
              <w:left w:val="single" w:sz="6" w:space="0" w:color="auto"/>
              <w:bottom w:val="dotted" w:sz="4" w:space="0" w:color="7F7F7F" w:themeColor="text1" w:themeTint="80"/>
              <w:right w:val="single" w:sz="6" w:space="0" w:color="auto"/>
            </w:tcBorders>
            <w:vAlign w:val="center"/>
          </w:tcPr>
          <w:p w14:paraId="1FF875CB" w14:textId="58A8B6AD" w:rsidR="00C74540" w:rsidRPr="006A295A" w:rsidRDefault="00C74540" w:rsidP="00AE4879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15.370,00</w:t>
            </w:r>
          </w:p>
        </w:tc>
        <w:tc>
          <w:tcPr>
            <w:tcW w:w="1554" w:type="dxa"/>
            <w:tcBorders>
              <w:top w:val="dotted" w:sz="4" w:space="0" w:color="7F7F7F" w:themeColor="text1" w:themeTint="80"/>
              <w:left w:val="single" w:sz="6" w:space="0" w:color="auto"/>
              <w:bottom w:val="dotted" w:sz="4" w:space="0" w:color="7F7F7F" w:themeColor="text1" w:themeTint="80"/>
              <w:right w:val="nil"/>
            </w:tcBorders>
            <w:vAlign w:val="center"/>
          </w:tcPr>
          <w:p w14:paraId="44C64BB9" w14:textId="5B74E296" w:rsidR="00C74540" w:rsidRPr="006A295A" w:rsidRDefault="00C74540" w:rsidP="00AE4879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17.770,00</w:t>
            </w:r>
          </w:p>
        </w:tc>
      </w:tr>
      <w:tr w:rsidR="006A295A" w:rsidRPr="006A295A" w14:paraId="6FA176EF" w14:textId="77777777" w:rsidTr="0000218C">
        <w:trPr>
          <w:trHeight w:val="283"/>
          <w:jc w:val="center"/>
        </w:trPr>
        <w:tc>
          <w:tcPr>
            <w:tcW w:w="4695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6" w:space="0" w:color="auto"/>
            </w:tcBorders>
            <w:noWrap/>
            <w:vAlign w:val="center"/>
            <w:hideMark/>
          </w:tcPr>
          <w:p w14:paraId="5660A28B" w14:textId="77777777" w:rsidR="00C74540" w:rsidRPr="006A295A" w:rsidRDefault="00C74540" w:rsidP="00C74540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Serviços de terceiros – Pessoa jurídica</w:t>
            </w:r>
          </w:p>
        </w:tc>
        <w:tc>
          <w:tcPr>
            <w:tcW w:w="1553" w:type="dxa"/>
            <w:tcBorders>
              <w:top w:val="dotted" w:sz="4" w:space="0" w:color="7F7F7F" w:themeColor="text1" w:themeTint="80"/>
              <w:left w:val="single" w:sz="6" w:space="0" w:color="auto"/>
              <w:bottom w:val="dotted" w:sz="4" w:space="0" w:color="7F7F7F" w:themeColor="text1" w:themeTint="80"/>
              <w:right w:val="single" w:sz="6" w:space="0" w:color="auto"/>
            </w:tcBorders>
            <w:vAlign w:val="center"/>
          </w:tcPr>
          <w:p w14:paraId="544888B5" w14:textId="710E761F" w:rsidR="00C74540" w:rsidRPr="006A295A" w:rsidRDefault="00C74540" w:rsidP="00AE4879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8.858,58</w:t>
            </w:r>
          </w:p>
        </w:tc>
        <w:tc>
          <w:tcPr>
            <w:tcW w:w="1554" w:type="dxa"/>
            <w:tcBorders>
              <w:top w:val="dotted" w:sz="4" w:space="0" w:color="7F7F7F" w:themeColor="text1" w:themeTint="80"/>
              <w:left w:val="single" w:sz="6" w:space="0" w:color="auto"/>
              <w:bottom w:val="dotted" w:sz="4" w:space="0" w:color="7F7F7F" w:themeColor="text1" w:themeTint="80"/>
              <w:right w:val="single" w:sz="6" w:space="0" w:color="auto"/>
            </w:tcBorders>
            <w:vAlign w:val="center"/>
          </w:tcPr>
          <w:p w14:paraId="7DB17C44" w14:textId="4FE30634" w:rsidR="00C74540" w:rsidRPr="006A295A" w:rsidRDefault="0000218C" w:rsidP="00AE4879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--</w:t>
            </w:r>
          </w:p>
        </w:tc>
        <w:tc>
          <w:tcPr>
            <w:tcW w:w="1554" w:type="dxa"/>
            <w:tcBorders>
              <w:top w:val="dotted" w:sz="4" w:space="0" w:color="7F7F7F" w:themeColor="text1" w:themeTint="80"/>
              <w:left w:val="single" w:sz="6" w:space="0" w:color="auto"/>
              <w:bottom w:val="dotted" w:sz="4" w:space="0" w:color="7F7F7F" w:themeColor="text1" w:themeTint="80"/>
              <w:right w:val="nil"/>
            </w:tcBorders>
            <w:vAlign w:val="center"/>
          </w:tcPr>
          <w:p w14:paraId="05502B80" w14:textId="52D66D5C" w:rsidR="00C74540" w:rsidRPr="006A295A" w:rsidRDefault="00C74540" w:rsidP="00AE4879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8858,58</w:t>
            </w:r>
          </w:p>
        </w:tc>
      </w:tr>
      <w:tr w:rsidR="006A295A" w:rsidRPr="006A295A" w14:paraId="020D6F11" w14:textId="77777777" w:rsidTr="0000218C">
        <w:trPr>
          <w:trHeight w:val="283"/>
          <w:jc w:val="center"/>
        </w:trPr>
        <w:tc>
          <w:tcPr>
            <w:tcW w:w="4695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6" w:space="0" w:color="auto"/>
            </w:tcBorders>
            <w:noWrap/>
            <w:vAlign w:val="center"/>
          </w:tcPr>
          <w:p w14:paraId="7AF2D1C6" w14:textId="69029E59" w:rsidR="00C74540" w:rsidRPr="006A295A" w:rsidRDefault="00C74540" w:rsidP="00C74540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Realização de Eventos</w:t>
            </w:r>
          </w:p>
        </w:tc>
        <w:tc>
          <w:tcPr>
            <w:tcW w:w="1553" w:type="dxa"/>
            <w:tcBorders>
              <w:top w:val="dotted" w:sz="4" w:space="0" w:color="7F7F7F" w:themeColor="text1" w:themeTint="80"/>
              <w:left w:val="single" w:sz="6" w:space="0" w:color="auto"/>
              <w:bottom w:val="dotted" w:sz="4" w:space="0" w:color="7F7F7F" w:themeColor="text1" w:themeTint="80"/>
              <w:right w:val="single" w:sz="6" w:space="0" w:color="auto"/>
            </w:tcBorders>
            <w:vAlign w:val="center"/>
          </w:tcPr>
          <w:p w14:paraId="50668BCB" w14:textId="488EF976" w:rsidR="00C74540" w:rsidRPr="006A295A" w:rsidRDefault="0000218C" w:rsidP="00AE4879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--</w:t>
            </w:r>
          </w:p>
        </w:tc>
        <w:tc>
          <w:tcPr>
            <w:tcW w:w="1554" w:type="dxa"/>
            <w:tcBorders>
              <w:top w:val="dotted" w:sz="4" w:space="0" w:color="7F7F7F" w:themeColor="text1" w:themeTint="80"/>
              <w:left w:val="single" w:sz="6" w:space="0" w:color="auto"/>
              <w:bottom w:val="dotted" w:sz="4" w:space="0" w:color="7F7F7F" w:themeColor="text1" w:themeTint="80"/>
              <w:right w:val="single" w:sz="6" w:space="0" w:color="auto"/>
            </w:tcBorders>
            <w:vAlign w:val="center"/>
          </w:tcPr>
          <w:p w14:paraId="090DD61F" w14:textId="14F59A91" w:rsidR="00C74540" w:rsidRPr="006A295A" w:rsidRDefault="00C74540" w:rsidP="00AE4879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6.270,00</w:t>
            </w:r>
          </w:p>
        </w:tc>
        <w:tc>
          <w:tcPr>
            <w:tcW w:w="1554" w:type="dxa"/>
            <w:tcBorders>
              <w:top w:val="dotted" w:sz="4" w:space="0" w:color="7F7F7F" w:themeColor="text1" w:themeTint="80"/>
              <w:left w:val="single" w:sz="6" w:space="0" w:color="auto"/>
              <w:bottom w:val="dotted" w:sz="4" w:space="0" w:color="7F7F7F" w:themeColor="text1" w:themeTint="80"/>
              <w:right w:val="nil"/>
            </w:tcBorders>
            <w:vAlign w:val="center"/>
          </w:tcPr>
          <w:p w14:paraId="72DC21E6" w14:textId="2D37591C" w:rsidR="00C74540" w:rsidRPr="006A295A" w:rsidRDefault="00C74540" w:rsidP="00AE4879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6.270,00</w:t>
            </w:r>
          </w:p>
        </w:tc>
      </w:tr>
      <w:tr w:rsidR="006A295A" w:rsidRPr="006A295A" w14:paraId="7D184249" w14:textId="77777777" w:rsidTr="0000218C">
        <w:trPr>
          <w:trHeight w:val="283"/>
          <w:jc w:val="center"/>
        </w:trPr>
        <w:tc>
          <w:tcPr>
            <w:tcW w:w="4695" w:type="dxa"/>
            <w:tcBorders>
              <w:top w:val="dotted" w:sz="4" w:space="0" w:color="7F7F7F" w:themeColor="text1" w:themeTint="80"/>
              <w:left w:val="nil"/>
              <w:bottom w:val="single" w:sz="6" w:space="0" w:color="000000" w:themeColor="text1"/>
              <w:right w:val="single" w:sz="6" w:space="0" w:color="auto"/>
            </w:tcBorders>
            <w:noWrap/>
            <w:vAlign w:val="center"/>
          </w:tcPr>
          <w:p w14:paraId="6C9E79EC" w14:textId="619B8251" w:rsidR="00C74540" w:rsidRPr="006A295A" w:rsidRDefault="00C74540" w:rsidP="00C74540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Outras Despesas</w:t>
            </w:r>
          </w:p>
        </w:tc>
        <w:tc>
          <w:tcPr>
            <w:tcW w:w="1553" w:type="dxa"/>
            <w:tcBorders>
              <w:top w:val="dotted" w:sz="4" w:space="0" w:color="7F7F7F" w:themeColor="text1" w:themeTint="80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16B848AD" w14:textId="7149DA4B" w:rsidR="00C74540" w:rsidRPr="006A295A" w:rsidRDefault="0000218C" w:rsidP="00AE4879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--</w:t>
            </w:r>
          </w:p>
        </w:tc>
        <w:tc>
          <w:tcPr>
            <w:tcW w:w="1554" w:type="dxa"/>
            <w:tcBorders>
              <w:top w:val="dotted" w:sz="4" w:space="0" w:color="7F7F7F" w:themeColor="text1" w:themeTint="80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36C8C4BA" w14:textId="3A89F4C6" w:rsidR="00C74540" w:rsidRPr="006A295A" w:rsidRDefault="00C74540" w:rsidP="00AE4879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32.843,79</w:t>
            </w:r>
          </w:p>
        </w:tc>
        <w:tc>
          <w:tcPr>
            <w:tcW w:w="1554" w:type="dxa"/>
            <w:tcBorders>
              <w:top w:val="dotted" w:sz="4" w:space="0" w:color="7F7F7F" w:themeColor="text1" w:themeTint="80"/>
              <w:left w:val="single" w:sz="6" w:space="0" w:color="auto"/>
              <w:bottom w:val="single" w:sz="6" w:space="0" w:color="000000" w:themeColor="text1"/>
              <w:right w:val="nil"/>
            </w:tcBorders>
            <w:vAlign w:val="center"/>
          </w:tcPr>
          <w:p w14:paraId="4F2FF008" w14:textId="5980214D" w:rsidR="00C74540" w:rsidRPr="006A295A" w:rsidRDefault="00C74540" w:rsidP="00AE4879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32.843,79</w:t>
            </w:r>
          </w:p>
        </w:tc>
      </w:tr>
      <w:tr w:rsidR="006A295A" w:rsidRPr="006A295A" w14:paraId="040ECE1D" w14:textId="77777777" w:rsidTr="0000218C">
        <w:trPr>
          <w:trHeight w:val="283"/>
          <w:jc w:val="center"/>
        </w:trPr>
        <w:tc>
          <w:tcPr>
            <w:tcW w:w="4695" w:type="dxa"/>
            <w:tcBorders>
              <w:top w:val="single" w:sz="6" w:space="0" w:color="000000" w:themeColor="text1"/>
              <w:left w:val="nil"/>
              <w:bottom w:val="dotted" w:sz="4" w:space="0" w:color="7F7F7F" w:themeColor="text1" w:themeTint="80"/>
              <w:right w:val="single" w:sz="6" w:space="0" w:color="auto"/>
            </w:tcBorders>
            <w:noWrap/>
            <w:vAlign w:val="center"/>
            <w:hideMark/>
          </w:tcPr>
          <w:p w14:paraId="205C99D3" w14:textId="77777777" w:rsidR="00C74540" w:rsidRPr="006A295A" w:rsidRDefault="00C74540" w:rsidP="00C74540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rPr>
                <w:rFonts w:eastAsia="Times New Roman" w:cs="Times New Roman"/>
                <w:b/>
                <w:sz w:val="18"/>
                <w:szCs w:val="18"/>
              </w:rPr>
            </w:pPr>
            <w:r w:rsidRPr="006A295A">
              <w:rPr>
                <w:rFonts w:eastAsia="Times New Roman" w:cs="Times New Roman"/>
                <w:b/>
                <w:sz w:val="18"/>
                <w:szCs w:val="18"/>
              </w:rPr>
              <w:t>Total das Despesas</w:t>
            </w:r>
          </w:p>
        </w:tc>
        <w:tc>
          <w:tcPr>
            <w:tcW w:w="1553" w:type="dxa"/>
            <w:tcBorders>
              <w:top w:val="single" w:sz="6" w:space="0" w:color="000000" w:themeColor="text1"/>
              <w:left w:val="single" w:sz="6" w:space="0" w:color="auto"/>
              <w:bottom w:val="dotted" w:sz="4" w:space="0" w:color="7F7F7F" w:themeColor="text1" w:themeTint="80"/>
              <w:right w:val="single" w:sz="6" w:space="0" w:color="auto"/>
            </w:tcBorders>
            <w:vAlign w:val="center"/>
          </w:tcPr>
          <w:p w14:paraId="1B85F5D1" w14:textId="10320BE8" w:rsidR="00C74540" w:rsidRPr="006A295A" w:rsidRDefault="00C74540" w:rsidP="00AE4879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432.469,33</w:t>
            </w:r>
          </w:p>
        </w:tc>
        <w:tc>
          <w:tcPr>
            <w:tcW w:w="1554" w:type="dxa"/>
            <w:tcBorders>
              <w:top w:val="single" w:sz="6" w:space="0" w:color="000000" w:themeColor="text1"/>
              <w:left w:val="single" w:sz="6" w:space="0" w:color="auto"/>
              <w:bottom w:val="dotted" w:sz="4" w:space="0" w:color="7F7F7F" w:themeColor="text1" w:themeTint="80"/>
              <w:right w:val="single" w:sz="6" w:space="0" w:color="auto"/>
            </w:tcBorders>
            <w:vAlign w:val="center"/>
          </w:tcPr>
          <w:p w14:paraId="7D34154F" w14:textId="68E59AD5" w:rsidR="00C74540" w:rsidRPr="006A295A" w:rsidRDefault="00C74540" w:rsidP="00AE4879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1.488.899,84</w:t>
            </w:r>
          </w:p>
        </w:tc>
        <w:tc>
          <w:tcPr>
            <w:tcW w:w="1554" w:type="dxa"/>
            <w:tcBorders>
              <w:top w:val="single" w:sz="6" w:space="0" w:color="000000" w:themeColor="text1"/>
              <w:left w:val="single" w:sz="6" w:space="0" w:color="auto"/>
              <w:bottom w:val="dotted" w:sz="4" w:space="0" w:color="7F7F7F" w:themeColor="text1" w:themeTint="80"/>
              <w:right w:val="nil"/>
            </w:tcBorders>
            <w:vAlign w:val="center"/>
          </w:tcPr>
          <w:p w14:paraId="186C0BD6" w14:textId="4B71C41B" w:rsidR="00C74540" w:rsidRPr="006A295A" w:rsidRDefault="00C74540" w:rsidP="00AE4879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1.921.369,17</w:t>
            </w:r>
          </w:p>
        </w:tc>
      </w:tr>
      <w:tr w:rsidR="006A295A" w:rsidRPr="006A295A" w14:paraId="0781F40A" w14:textId="77777777" w:rsidTr="0000218C">
        <w:trPr>
          <w:trHeight w:val="283"/>
          <w:jc w:val="center"/>
        </w:trPr>
        <w:tc>
          <w:tcPr>
            <w:tcW w:w="4695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6" w:space="0" w:color="auto"/>
            </w:tcBorders>
            <w:noWrap/>
            <w:vAlign w:val="center"/>
            <w:hideMark/>
          </w:tcPr>
          <w:p w14:paraId="4705D8F2" w14:textId="5180A017" w:rsidR="00C74540" w:rsidRPr="006A295A" w:rsidRDefault="00C74540" w:rsidP="00C74540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rPr>
                <w:rFonts w:eastAsia="Times New Roman" w:cs="Times New Roman"/>
                <w:b/>
                <w:sz w:val="18"/>
                <w:szCs w:val="18"/>
              </w:rPr>
            </w:pPr>
            <w:r w:rsidRPr="006A295A">
              <w:rPr>
                <w:rFonts w:eastAsia="Times New Roman" w:cs="Times New Roman"/>
                <w:b/>
                <w:sz w:val="18"/>
                <w:szCs w:val="18"/>
              </w:rPr>
              <w:t xml:space="preserve">Valor </w:t>
            </w:r>
            <w:r w:rsidR="0000218C" w:rsidRPr="006A295A">
              <w:rPr>
                <w:rFonts w:eastAsia="Times New Roman" w:cs="Times New Roman"/>
                <w:b/>
                <w:sz w:val="18"/>
                <w:szCs w:val="18"/>
              </w:rPr>
              <w:t>Transfer</w:t>
            </w:r>
            <w:r w:rsidRPr="006A295A">
              <w:rPr>
                <w:rFonts w:eastAsia="Times New Roman" w:cs="Times New Roman"/>
                <w:b/>
                <w:sz w:val="18"/>
                <w:szCs w:val="18"/>
              </w:rPr>
              <w:t>ido</w:t>
            </w:r>
          </w:p>
        </w:tc>
        <w:tc>
          <w:tcPr>
            <w:tcW w:w="1553" w:type="dxa"/>
            <w:tcBorders>
              <w:top w:val="dotted" w:sz="4" w:space="0" w:color="7F7F7F" w:themeColor="text1" w:themeTint="80"/>
              <w:left w:val="single" w:sz="6" w:space="0" w:color="auto"/>
              <w:bottom w:val="dotted" w:sz="4" w:space="0" w:color="7F7F7F" w:themeColor="text1" w:themeTint="80"/>
              <w:right w:val="single" w:sz="6" w:space="0" w:color="auto"/>
            </w:tcBorders>
            <w:vAlign w:val="center"/>
          </w:tcPr>
          <w:p w14:paraId="46608E69" w14:textId="667D1AC5" w:rsidR="00C74540" w:rsidRPr="006A295A" w:rsidRDefault="00C74540" w:rsidP="00AE4879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2.248.792,50</w:t>
            </w:r>
          </w:p>
        </w:tc>
        <w:tc>
          <w:tcPr>
            <w:tcW w:w="1554" w:type="dxa"/>
            <w:tcBorders>
              <w:top w:val="dotted" w:sz="4" w:space="0" w:color="7F7F7F" w:themeColor="text1" w:themeTint="80"/>
              <w:left w:val="single" w:sz="6" w:space="0" w:color="auto"/>
              <w:bottom w:val="dotted" w:sz="4" w:space="0" w:color="7F7F7F" w:themeColor="text1" w:themeTint="80"/>
              <w:right w:val="single" w:sz="6" w:space="0" w:color="auto"/>
            </w:tcBorders>
            <w:vAlign w:val="center"/>
          </w:tcPr>
          <w:p w14:paraId="01442B77" w14:textId="00F77293" w:rsidR="00C74540" w:rsidRPr="006A295A" w:rsidRDefault="00C74540" w:rsidP="00AE4879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1.475.400,00</w:t>
            </w:r>
          </w:p>
        </w:tc>
        <w:tc>
          <w:tcPr>
            <w:tcW w:w="1554" w:type="dxa"/>
            <w:tcBorders>
              <w:top w:val="dotted" w:sz="4" w:space="0" w:color="7F7F7F" w:themeColor="text1" w:themeTint="80"/>
              <w:left w:val="single" w:sz="6" w:space="0" w:color="auto"/>
              <w:bottom w:val="dotted" w:sz="4" w:space="0" w:color="7F7F7F" w:themeColor="text1" w:themeTint="80"/>
              <w:right w:val="nil"/>
            </w:tcBorders>
            <w:vAlign w:val="center"/>
          </w:tcPr>
          <w:p w14:paraId="187CD19B" w14:textId="2FF31EE3" w:rsidR="00C74540" w:rsidRPr="006A295A" w:rsidRDefault="00C74540" w:rsidP="00AE4879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3.724.192,50</w:t>
            </w:r>
          </w:p>
        </w:tc>
      </w:tr>
      <w:tr w:rsidR="006A295A" w:rsidRPr="006A295A" w14:paraId="728A1A2E" w14:textId="77777777" w:rsidTr="003C6F11">
        <w:trPr>
          <w:trHeight w:val="283"/>
          <w:jc w:val="center"/>
        </w:trPr>
        <w:tc>
          <w:tcPr>
            <w:tcW w:w="4695" w:type="dxa"/>
            <w:tcBorders>
              <w:top w:val="dotted" w:sz="4" w:space="0" w:color="7F7F7F" w:themeColor="text1" w:themeTint="80"/>
              <w:left w:val="nil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14:paraId="1F7BD71C" w14:textId="77777777" w:rsidR="00C74540" w:rsidRPr="006A295A" w:rsidRDefault="00C74540" w:rsidP="00C74540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rPr>
                <w:rFonts w:eastAsia="Times New Roman" w:cs="Times New Roman"/>
                <w:b/>
                <w:sz w:val="18"/>
                <w:szCs w:val="18"/>
              </w:rPr>
            </w:pPr>
            <w:r w:rsidRPr="006A295A">
              <w:rPr>
                <w:rFonts w:eastAsia="Times New Roman" w:cs="Times New Roman"/>
                <w:b/>
                <w:sz w:val="18"/>
                <w:szCs w:val="18"/>
              </w:rPr>
              <w:t>Rendimentos</w:t>
            </w:r>
          </w:p>
        </w:tc>
        <w:tc>
          <w:tcPr>
            <w:tcW w:w="1553" w:type="dxa"/>
            <w:tcBorders>
              <w:top w:val="dotted" w:sz="4" w:space="0" w:color="7F7F7F" w:themeColor="text1" w:themeTint="80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CF81ED7" w14:textId="1CF4A7C3" w:rsidR="00C74540" w:rsidRPr="006A295A" w:rsidRDefault="00C74540" w:rsidP="00AE4879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595.391,44</w:t>
            </w:r>
          </w:p>
        </w:tc>
        <w:tc>
          <w:tcPr>
            <w:tcW w:w="1554" w:type="dxa"/>
            <w:tcBorders>
              <w:top w:val="dotted" w:sz="4" w:space="0" w:color="7F7F7F" w:themeColor="text1" w:themeTint="80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5C41DDD" w14:textId="260FE7EC" w:rsidR="00C74540" w:rsidRPr="006A295A" w:rsidRDefault="00C74540" w:rsidP="00AE4879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276.669,36</w:t>
            </w:r>
          </w:p>
        </w:tc>
        <w:tc>
          <w:tcPr>
            <w:tcW w:w="1554" w:type="dxa"/>
            <w:tcBorders>
              <w:top w:val="dotted" w:sz="4" w:space="0" w:color="7F7F7F" w:themeColor="text1" w:themeTint="80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14:paraId="344913D1" w14:textId="4B412220" w:rsidR="00C74540" w:rsidRPr="006A295A" w:rsidRDefault="00C74540" w:rsidP="00AE4879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6A295A">
              <w:rPr>
                <w:rFonts w:eastAsia="Times New Roman" w:cs="Times New Roman"/>
                <w:sz w:val="18"/>
                <w:szCs w:val="18"/>
              </w:rPr>
              <w:t>872.060,80</w:t>
            </w:r>
          </w:p>
        </w:tc>
      </w:tr>
      <w:tr w:rsidR="00AE4879" w:rsidRPr="006A295A" w14:paraId="708455C6" w14:textId="77777777" w:rsidTr="003C6F11">
        <w:trPr>
          <w:trHeight w:val="255"/>
          <w:jc w:val="center"/>
        </w:trPr>
        <w:tc>
          <w:tcPr>
            <w:tcW w:w="4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B4E13" w14:textId="77777777" w:rsidR="00C74540" w:rsidRPr="006A295A" w:rsidRDefault="00C74540" w:rsidP="00C74540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rPr>
                <w:rFonts w:eastAsia="Times New Roman" w:cs="Times New Roman"/>
                <w:b/>
                <w:sz w:val="18"/>
                <w:szCs w:val="18"/>
              </w:rPr>
            </w:pPr>
            <w:r w:rsidRPr="006A295A">
              <w:rPr>
                <w:rFonts w:eastAsia="Times New Roman" w:cs="Times New Roman"/>
                <w:b/>
                <w:sz w:val="18"/>
                <w:szCs w:val="18"/>
              </w:rPr>
              <w:t>SALDO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EF004" w14:textId="1785BDF3" w:rsidR="00C74540" w:rsidRPr="006A295A" w:rsidRDefault="00C74540" w:rsidP="00AE4879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right"/>
              <w:rPr>
                <w:rFonts w:eastAsia="Times New Roman" w:cs="Times New Roman"/>
                <w:b/>
                <w:sz w:val="18"/>
                <w:szCs w:val="18"/>
              </w:rPr>
            </w:pPr>
            <w:r w:rsidRPr="006A295A">
              <w:rPr>
                <w:rFonts w:eastAsia="Times New Roman" w:cs="Times New Roman"/>
                <w:b/>
                <w:sz w:val="18"/>
                <w:szCs w:val="18"/>
              </w:rPr>
              <w:t>2.411.714,61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A9D5F" w14:textId="00D4DF42" w:rsidR="00C74540" w:rsidRPr="006A295A" w:rsidRDefault="00C74540" w:rsidP="00AE4879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right"/>
              <w:rPr>
                <w:rFonts w:eastAsia="Times New Roman" w:cs="Times New Roman"/>
                <w:b/>
                <w:sz w:val="18"/>
                <w:szCs w:val="18"/>
              </w:rPr>
            </w:pPr>
            <w:r w:rsidRPr="006A295A">
              <w:rPr>
                <w:rFonts w:eastAsia="Times New Roman" w:cs="Times New Roman"/>
                <w:b/>
                <w:sz w:val="18"/>
                <w:szCs w:val="18"/>
              </w:rPr>
              <w:t>263.169,52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09440D" w14:textId="7E9159A7" w:rsidR="00C74540" w:rsidRPr="006A295A" w:rsidRDefault="00C74540" w:rsidP="00AE4879">
            <w:pPr>
              <w:pStyle w:val="Recuodecorpodetexto2"/>
              <w:tabs>
                <w:tab w:val="left" w:pos="1418"/>
              </w:tabs>
              <w:spacing w:after="0" w:line="240" w:lineRule="auto"/>
              <w:ind w:left="0"/>
              <w:jc w:val="right"/>
              <w:rPr>
                <w:rFonts w:eastAsia="Times New Roman" w:cs="Times New Roman"/>
                <w:b/>
                <w:sz w:val="18"/>
                <w:szCs w:val="18"/>
              </w:rPr>
            </w:pPr>
            <w:r w:rsidRPr="006A295A">
              <w:rPr>
                <w:rFonts w:eastAsia="Times New Roman" w:cs="Times New Roman"/>
                <w:b/>
                <w:sz w:val="18"/>
                <w:szCs w:val="18"/>
              </w:rPr>
              <w:t>2.674.884,13</w:t>
            </w:r>
          </w:p>
        </w:tc>
      </w:tr>
    </w:tbl>
    <w:p w14:paraId="590E5833" w14:textId="47E8949A" w:rsidR="00AE4879" w:rsidRPr="006A295A" w:rsidRDefault="00AE4879" w:rsidP="00D23AFD">
      <w:pPr>
        <w:pStyle w:val="Recuodecorpodetexto2"/>
        <w:tabs>
          <w:tab w:val="left" w:pos="1418"/>
        </w:tabs>
        <w:spacing w:line="240" w:lineRule="auto"/>
        <w:ind w:left="0"/>
        <w:jc w:val="both"/>
        <w:rPr>
          <w:rFonts w:eastAsia="Times New Roman" w:cs="Times New Roman"/>
          <w:noProof/>
          <w:szCs w:val="20"/>
        </w:rPr>
      </w:pPr>
    </w:p>
    <w:p w14:paraId="4099B05C" w14:textId="5B307A45" w:rsidR="00AE4879" w:rsidRPr="006A295A" w:rsidRDefault="00AE4879" w:rsidP="00D23AFD">
      <w:pPr>
        <w:pStyle w:val="Recuodecorpodetexto2"/>
        <w:tabs>
          <w:tab w:val="left" w:pos="1418"/>
        </w:tabs>
        <w:spacing w:line="240" w:lineRule="auto"/>
        <w:ind w:left="0"/>
        <w:jc w:val="both"/>
        <w:rPr>
          <w:rFonts w:eastAsia="Times New Roman" w:cs="Times New Roman"/>
          <w:noProof/>
          <w:szCs w:val="20"/>
        </w:rPr>
      </w:pPr>
      <w:r w:rsidRPr="006A295A">
        <w:rPr>
          <w:noProof/>
        </w:rPr>
        <w:drawing>
          <wp:inline distT="0" distB="0" distL="0" distR="0" wp14:anchorId="2535CA9B" wp14:editId="5BFB2CA2">
            <wp:extent cx="5894735" cy="2545080"/>
            <wp:effectExtent l="0" t="0" r="0" b="762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64" cy="2547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99E71" w14:textId="0D278F8A" w:rsidR="00D23AFD" w:rsidRPr="006A295A" w:rsidRDefault="00D23AFD" w:rsidP="009D7BAC">
      <w:pPr>
        <w:pStyle w:val="Recuodecorpodetexto2"/>
        <w:tabs>
          <w:tab w:val="left" w:pos="993"/>
        </w:tabs>
        <w:spacing w:after="240" w:line="240" w:lineRule="auto"/>
        <w:ind w:left="0"/>
        <w:jc w:val="both"/>
        <w:rPr>
          <w:rFonts w:eastAsia="Times New Roman" w:cs="Times New Roman"/>
          <w:szCs w:val="20"/>
        </w:rPr>
      </w:pPr>
      <w:r w:rsidRPr="006A295A">
        <w:rPr>
          <w:rFonts w:eastAsia="Times New Roman" w:cs="Times New Roman"/>
          <w:b/>
          <w:szCs w:val="20"/>
        </w:rPr>
        <w:t>Figura 1.</w:t>
      </w:r>
      <w:r w:rsidR="009D7BAC" w:rsidRPr="006A295A">
        <w:rPr>
          <w:rFonts w:eastAsia="Times New Roman" w:cs="Times New Roman"/>
          <w:szCs w:val="20"/>
        </w:rPr>
        <w:t xml:space="preserve"> </w:t>
      </w:r>
      <w:r w:rsidRPr="006A295A">
        <w:rPr>
          <w:rFonts w:eastAsia="Times New Roman" w:cs="Times New Roman"/>
          <w:szCs w:val="20"/>
        </w:rPr>
        <w:t>Desempenho financeiro do órgão gestor na execução dos recursos do Progestão.</w:t>
      </w:r>
    </w:p>
    <w:p w14:paraId="7A7D6B4B" w14:textId="77777777" w:rsidR="006F7F47" w:rsidRPr="006A295A" w:rsidRDefault="008B0E76" w:rsidP="00780FE9">
      <w:pPr>
        <w:pStyle w:val="Paragrfo1"/>
        <w:numPr>
          <w:ilvl w:val="0"/>
          <w:numId w:val="12"/>
        </w:numPr>
        <w:ind w:left="0" w:firstLine="0"/>
      </w:pPr>
      <w:r w:rsidRPr="006A295A">
        <w:lastRenderedPageBreak/>
        <w:t xml:space="preserve">Para </w:t>
      </w:r>
      <w:r w:rsidR="001601AB" w:rsidRPr="006A295A">
        <w:t>a assinatura do</w:t>
      </w:r>
      <w:r w:rsidRPr="006A295A">
        <w:t xml:space="preserve"> contrato do 2º </w:t>
      </w:r>
      <w:r w:rsidR="009D7BAC" w:rsidRPr="006A295A">
        <w:t>c</w:t>
      </w:r>
      <w:r w:rsidRPr="006A295A">
        <w:t>iclo</w:t>
      </w:r>
      <w:r w:rsidR="001601AB" w:rsidRPr="006A295A">
        <w:t xml:space="preserve"> do Progestão</w:t>
      </w:r>
      <w:r w:rsidRPr="006A295A">
        <w:t xml:space="preserve">, o Governador do </w:t>
      </w:r>
      <w:r w:rsidR="009D7BAC" w:rsidRPr="006A295A">
        <w:t>E</w:t>
      </w:r>
      <w:r w:rsidRPr="006A295A">
        <w:t xml:space="preserve">stado de Mato Grosso, por meio do Ofício </w:t>
      </w:r>
      <w:r w:rsidR="002C2D24" w:rsidRPr="006A295A">
        <w:t>n</w:t>
      </w:r>
      <w:r w:rsidR="002C2D24" w:rsidRPr="006A295A">
        <w:rPr>
          <w:vertAlign w:val="superscript"/>
        </w:rPr>
        <w:t>o</w:t>
      </w:r>
      <w:r w:rsidR="002C2D24" w:rsidRPr="006A295A">
        <w:t xml:space="preserve"> 1718/2017/GAB/SEMA/MT (Doc. n</w:t>
      </w:r>
      <w:r w:rsidR="002C2D24" w:rsidRPr="006A295A">
        <w:rPr>
          <w:vertAlign w:val="superscript"/>
        </w:rPr>
        <w:t>o</w:t>
      </w:r>
      <w:r w:rsidR="002C2D24" w:rsidRPr="006A295A">
        <w:t xml:space="preserve"> </w:t>
      </w:r>
      <w:r w:rsidR="00780FE9" w:rsidRPr="006A295A">
        <w:t>057279/2017</w:t>
      </w:r>
      <w:r w:rsidR="002C2D24" w:rsidRPr="006A295A">
        <w:t>)</w:t>
      </w:r>
      <w:r w:rsidRPr="006A295A">
        <w:t xml:space="preserve">, manifestou interesse em dar continuidade ao programa, ratificando o Decreto Estadual </w:t>
      </w:r>
      <w:r w:rsidR="002C2D24" w:rsidRPr="006A295A">
        <w:t>n</w:t>
      </w:r>
      <w:r w:rsidR="002C2D24" w:rsidRPr="006A295A">
        <w:rPr>
          <w:vertAlign w:val="superscript"/>
        </w:rPr>
        <w:t>o</w:t>
      </w:r>
      <w:r w:rsidR="002C2D24" w:rsidRPr="006A295A">
        <w:t xml:space="preserve"> 1.815, de 20 de junho de 2013</w:t>
      </w:r>
      <w:r w:rsidRPr="006A295A">
        <w:t xml:space="preserve"> e</w:t>
      </w:r>
      <w:r w:rsidR="009D7BAC" w:rsidRPr="006A295A">
        <w:t>, na oportunidade,</w:t>
      </w:r>
      <w:r w:rsidRPr="006A295A">
        <w:t xml:space="preserve"> declar</w:t>
      </w:r>
      <w:r w:rsidR="009D7BAC" w:rsidRPr="006A295A">
        <w:t>ou</w:t>
      </w:r>
      <w:r w:rsidRPr="006A295A">
        <w:t xml:space="preserve"> que utilizou e/ou empenhou </w:t>
      </w:r>
      <w:r w:rsidR="002C2D24" w:rsidRPr="006A295A">
        <w:t>50</w:t>
      </w:r>
      <w:r w:rsidRPr="006A295A">
        <w:t xml:space="preserve">% dos recursos repassados pelo Progestão até dezembro/2016. </w:t>
      </w:r>
      <w:r w:rsidR="009701EB" w:rsidRPr="006A295A">
        <w:t>O CEHIDRO, por meio da Resolução n</w:t>
      </w:r>
      <w:r w:rsidR="009701EB" w:rsidRPr="006A295A">
        <w:rPr>
          <w:vertAlign w:val="superscript"/>
        </w:rPr>
        <w:t>o</w:t>
      </w:r>
      <w:r w:rsidR="009701EB" w:rsidRPr="006A295A">
        <w:t xml:space="preserve"> 103, de 08 de março de 2018, ratifica</w:t>
      </w:r>
      <w:r w:rsidRPr="006A295A">
        <w:t xml:space="preserve"> o valor declarado pelo estado no referido Ofício. Desta forma, por ter executado mais de 50% dos recursos repassados pelo programa até dezembro/2016, </w:t>
      </w:r>
      <w:r w:rsidR="009D7BAC" w:rsidRPr="006A295A">
        <w:t xml:space="preserve">o estado de Mato Grosso </w:t>
      </w:r>
      <w:r w:rsidRPr="006A295A">
        <w:t xml:space="preserve">não teve qualquer redução no </w:t>
      </w:r>
      <w:r w:rsidR="009701EB" w:rsidRPr="006A295A">
        <w:t>repasse</w:t>
      </w:r>
      <w:r w:rsidRPr="006A295A">
        <w:t xml:space="preserve"> da</w:t>
      </w:r>
      <w:r w:rsidR="009D7BAC" w:rsidRPr="006A295A">
        <w:t xml:space="preserve"> primeira</w:t>
      </w:r>
      <w:r w:rsidRPr="006A295A">
        <w:t xml:space="preserve"> parcela</w:t>
      </w:r>
      <w:r w:rsidR="006F7F47" w:rsidRPr="006A295A">
        <w:t>.</w:t>
      </w:r>
    </w:p>
    <w:p w14:paraId="2C85F63E" w14:textId="77777777" w:rsidR="003545C9" w:rsidRPr="006A295A" w:rsidRDefault="006F7F47" w:rsidP="00780FE9">
      <w:pPr>
        <w:pStyle w:val="Paragrfo1"/>
        <w:numPr>
          <w:ilvl w:val="0"/>
          <w:numId w:val="12"/>
        </w:numPr>
        <w:ind w:left="0" w:firstLine="0"/>
      </w:pPr>
      <w:r w:rsidRPr="006A295A">
        <w:t xml:space="preserve">Em relação </w:t>
      </w:r>
      <w:r w:rsidR="00D00F43" w:rsidRPr="006A295A">
        <w:t>ao Plano de Aplicação Plurianual</w:t>
      </w:r>
      <w:r w:rsidR="00C06D74" w:rsidRPr="006A295A">
        <w:t xml:space="preserve"> referente ao saldo dos recursos da conta do Progestão, somado aos valores previstos para serem repassados, o estado apresentou a planilha constante do </w:t>
      </w:r>
      <w:r w:rsidR="00C06D74" w:rsidRPr="006A295A">
        <w:rPr>
          <w:b/>
        </w:rPr>
        <w:t xml:space="preserve">Quadro </w:t>
      </w:r>
      <w:r w:rsidR="003545C9" w:rsidRPr="006A295A">
        <w:rPr>
          <w:b/>
        </w:rPr>
        <w:t>3</w:t>
      </w:r>
      <w:r w:rsidR="00C06D74" w:rsidRPr="006A295A">
        <w:t xml:space="preserve"> a seguir</w:t>
      </w:r>
      <w:r w:rsidR="003545C9" w:rsidRPr="006A295A">
        <w:t xml:space="preserve"> para o período 2018-2022</w:t>
      </w:r>
      <w:r w:rsidR="00C06D74" w:rsidRPr="006A295A">
        <w:t>, devidamente aprovada pelo CEHIDRO</w:t>
      </w:r>
      <w:r w:rsidR="00D23AFD" w:rsidRPr="006A295A">
        <w:t>.</w:t>
      </w:r>
      <w:r w:rsidR="003545C9" w:rsidRPr="006A295A">
        <w:t xml:space="preserve"> Foi estimado investimento no valor total de R$ 8,9 milhões, considerando os repasses a serem efetuados no 2º ciclo somados ao valor remanescente da conta Progestão, e ainda a contrapartida do estado de R$ 250 mil anuais até 2022.</w:t>
      </w:r>
    </w:p>
    <w:p w14:paraId="2CEAB909" w14:textId="65A09D10" w:rsidR="00D23AFD" w:rsidRPr="006A295A" w:rsidRDefault="003545C9" w:rsidP="00780FE9">
      <w:pPr>
        <w:pStyle w:val="Paragrfo1"/>
        <w:numPr>
          <w:ilvl w:val="0"/>
          <w:numId w:val="12"/>
        </w:numPr>
        <w:ind w:left="0" w:firstLine="0"/>
      </w:pPr>
      <w:r w:rsidRPr="006A295A">
        <w:t xml:space="preserve">Conforme ilustrado </w:t>
      </w:r>
      <w:r w:rsidR="00E22900" w:rsidRPr="006A295A">
        <w:t>no Quadro 3</w:t>
      </w:r>
      <w:r w:rsidRPr="006A295A">
        <w:t>,</w:t>
      </w:r>
      <w:r w:rsidR="0084328A" w:rsidRPr="006A295A">
        <w:t xml:space="preserve"> cabe destacar, dentre</w:t>
      </w:r>
      <w:r w:rsidRPr="006A295A">
        <w:t xml:space="preserve"> </w:t>
      </w:r>
      <w:r w:rsidR="0084328A" w:rsidRPr="006A295A">
        <w:t>os investimentos planejados para o estado do Mato Grosso</w:t>
      </w:r>
      <w:r w:rsidR="00370DDE" w:rsidRPr="006A295A">
        <w:t xml:space="preserve"> nos anos de 2018 a 2022</w:t>
      </w:r>
      <w:r w:rsidR="0084328A" w:rsidRPr="006A295A">
        <w:t>: a realização de seminários de recursos hídricos; a contratação de suporte técnico para a concessão de outorga</w:t>
      </w:r>
      <w:r w:rsidR="00370DDE" w:rsidRPr="006A295A">
        <w:t xml:space="preserve"> e de estudos de regionalização de vazões nas bacias estaduais</w:t>
      </w:r>
      <w:r w:rsidR="0084328A" w:rsidRPr="006A295A">
        <w:t>; despesas com manutenção e aquisição de peças para as estações telemétricas</w:t>
      </w:r>
      <w:r w:rsidR="00370DDE" w:rsidRPr="006A295A">
        <w:t xml:space="preserve"> (R$ 2,5 milhões); a elaboração de planos de bacias (R$ 1 milhão); além de R$ 485 mil para ações de capacitação em recursos hídricos, </w:t>
      </w:r>
      <w:r w:rsidR="00673A6E" w:rsidRPr="006A295A">
        <w:t xml:space="preserve">orçamento </w:t>
      </w:r>
      <w:r w:rsidR="00370DDE" w:rsidRPr="006A295A">
        <w:t>compatível com o Plano de Capacitação apresentado</w:t>
      </w:r>
      <w:r w:rsidRPr="006A295A">
        <w:t>.</w:t>
      </w:r>
    </w:p>
    <w:p w14:paraId="2F8090A5" w14:textId="0A619BA9" w:rsidR="003545C9" w:rsidRPr="006A295A" w:rsidRDefault="003545C9" w:rsidP="00512E21">
      <w:pPr>
        <w:pStyle w:val="Recuodecorpodetexto2"/>
        <w:tabs>
          <w:tab w:val="left" w:pos="1418"/>
        </w:tabs>
        <w:spacing w:before="120" w:after="0" w:line="240" w:lineRule="auto"/>
        <w:ind w:left="0"/>
        <w:jc w:val="both"/>
        <w:rPr>
          <w:rFonts w:eastAsia="Times New Roman" w:cs="Times New Roman"/>
          <w:szCs w:val="20"/>
        </w:rPr>
      </w:pPr>
      <w:r w:rsidRPr="006A295A">
        <w:rPr>
          <w:rFonts w:eastAsia="Times New Roman" w:cs="Times New Roman"/>
          <w:b/>
          <w:szCs w:val="20"/>
        </w:rPr>
        <w:t>Quadro 3.</w:t>
      </w:r>
      <w:r w:rsidRPr="006A295A">
        <w:rPr>
          <w:rFonts w:eastAsia="Times New Roman" w:cs="Times New Roman"/>
          <w:szCs w:val="20"/>
        </w:rPr>
        <w:t xml:space="preserve"> Plano de Aplicação dos recursos do Progestão em Mato Grosso no período 2018-2022.</w:t>
      </w:r>
    </w:p>
    <w:p w14:paraId="2EDC553E" w14:textId="4F33C9A5" w:rsidR="003545C9" w:rsidRPr="006A295A" w:rsidRDefault="003545C9" w:rsidP="00512E21">
      <w:pPr>
        <w:pStyle w:val="Paragrfo1"/>
        <w:numPr>
          <w:ilvl w:val="0"/>
          <w:numId w:val="0"/>
        </w:numPr>
        <w:spacing w:before="80"/>
      </w:pPr>
      <w:r w:rsidRPr="006A295A">
        <w:rPr>
          <w:rFonts w:ascii="Nexa Light" w:hAnsi="Nexa Light"/>
          <w:i/>
          <w:noProof/>
          <w:sz w:val="24"/>
        </w:rPr>
        <w:drawing>
          <wp:inline distT="0" distB="0" distL="0" distR="0" wp14:anchorId="10CBA752" wp14:editId="59C063E6">
            <wp:extent cx="5939790" cy="4406464"/>
            <wp:effectExtent l="0" t="0" r="381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0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829AC" w14:textId="1E5BDBD1" w:rsidR="009D7BAC" w:rsidRPr="006A295A" w:rsidRDefault="009D7BAC" w:rsidP="009D7BAC">
      <w:pPr>
        <w:pStyle w:val="Paragrfo1"/>
        <w:numPr>
          <w:ilvl w:val="0"/>
          <w:numId w:val="12"/>
        </w:numPr>
        <w:ind w:left="0" w:firstLine="0"/>
      </w:pPr>
      <w:r w:rsidRPr="006A295A">
        <w:lastRenderedPageBreak/>
        <w:t>Tendo em vista o alcance das metas</w:t>
      </w:r>
      <w:r w:rsidR="00725412" w:rsidRPr="006A295A">
        <w:t xml:space="preserve"> de cooperação federativa</w:t>
      </w:r>
      <w:r w:rsidR="00D30F36" w:rsidRPr="006A295A">
        <w:t>,</w:t>
      </w:r>
      <w:r w:rsidR="00725412" w:rsidRPr="006A295A">
        <w:t xml:space="preserve"> a aprovação do novo Quadro de Metas para o próximo ciclo do Progestão</w:t>
      </w:r>
      <w:r w:rsidR="00D30F36" w:rsidRPr="006A295A">
        <w:t>,</w:t>
      </w:r>
      <w:r w:rsidR="00DF29A5" w:rsidRPr="006A295A">
        <w:t xml:space="preserve"> o cumprimento do item 3.3.1 do Anexo I do </w:t>
      </w:r>
      <w:r w:rsidR="00725412" w:rsidRPr="006A295A">
        <w:t>C</w:t>
      </w:r>
      <w:r w:rsidR="00DF29A5" w:rsidRPr="006A295A">
        <w:t xml:space="preserve">ontrato relativo ao desembolso dos recursos do </w:t>
      </w:r>
      <w:r w:rsidR="00725412" w:rsidRPr="006A295A">
        <w:t>p</w:t>
      </w:r>
      <w:r w:rsidR="00DF29A5" w:rsidRPr="006A295A">
        <w:t>rog</w:t>
      </w:r>
      <w:r w:rsidR="00725412" w:rsidRPr="006A295A">
        <w:t>rama</w:t>
      </w:r>
      <w:r w:rsidR="00DF29A5" w:rsidRPr="006A295A">
        <w:t xml:space="preserve"> transferidos ao estado até 2016, e ainda</w:t>
      </w:r>
      <w:r w:rsidR="00D30F36" w:rsidRPr="006A295A">
        <w:t xml:space="preserve"> a apresentação do Plano de Aplicação Plurianual dos recursos do Progestão estabelecid</w:t>
      </w:r>
      <w:r w:rsidR="00DF29A5" w:rsidRPr="006A295A">
        <w:t>o</w:t>
      </w:r>
      <w:r w:rsidR="00D30F36" w:rsidRPr="006A295A">
        <w:t xml:space="preserve"> no</w:t>
      </w:r>
      <w:r w:rsidR="00DF29A5" w:rsidRPr="006A295A">
        <w:t xml:space="preserve"> critério</w:t>
      </w:r>
      <w:r w:rsidR="00725412" w:rsidRPr="006A295A">
        <w:t xml:space="preserve"> “c”</w:t>
      </w:r>
      <w:r w:rsidR="00DF29A5" w:rsidRPr="006A295A">
        <w:t xml:space="preserve"> </w:t>
      </w:r>
      <w:r w:rsidR="00D30F36" w:rsidRPr="006A295A">
        <w:t>do Fator de Redução</w:t>
      </w:r>
      <w:r w:rsidRPr="006A295A">
        <w:t xml:space="preserve">, a SEMA/MT faz jus à transferência de recursos no valor de </w:t>
      </w:r>
      <w:r w:rsidRPr="006A295A">
        <w:rPr>
          <w:b/>
        </w:rPr>
        <w:t>R$ 975.905,00 (novecentos e setenta e cinco mil novecentos e cinco reais)</w:t>
      </w:r>
      <w:r w:rsidR="00D30F36" w:rsidRPr="006A295A">
        <w:rPr>
          <w:b/>
        </w:rPr>
        <w:t xml:space="preserve"> </w:t>
      </w:r>
      <w:r w:rsidRPr="006A295A">
        <w:t xml:space="preserve">referente à </w:t>
      </w:r>
      <w:r w:rsidRPr="006A295A">
        <w:rPr>
          <w:b/>
        </w:rPr>
        <w:t xml:space="preserve">1ª </w:t>
      </w:r>
      <w:r w:rsidR="00B40F0B" w:rsidRPr="006A295A">
        <w:rPr>
          <w:b/>
        </w:rPr>
        <w:t>p</w:t>
      </w:r>
      <w:r w:rsidRPr="006A295A">
        <w:rPr>
          <w:b/>
        </w:rPr>
        <w:t xml:space="preserve">arcela do 2º </w:t>
      </w:r>
      <w:r w:rsidR="00B40F0B" w:rsidRPr="006A295A">
        <w:rPr>
          <w:b/>
        </w:rPr>
        <w:t>c</w:t>
      </w:r>
      <w:r w:rsidRPr="006A295A">
        <w:rPr>
          <w:b/>
        </w:rPr>
        <w:t>iclo do Progestão</w:t>
      </w:r>
      <w:r w:rsidRPr="006A295A">
        <w:t xml:space="preserve">, </w:t>
      </w:r>
      <w:r w:rsidR="00D30F36" w:rsidRPr="006A295A">
        <w:t>conforme detalhado no Anexo I desta Nota Técnica,</w:t>
      </w:r>
      <w:r w:rsidRPr="006A295A">
        <w:t xml:space="preserve"> uma vez comprovada a regularidade fiscal da</w:t>
      </w:r>
      <w:bookmarkStart w:id="1" w:name="_GoBack"/>
      <w:bookmarkEnd w:id="1"/>
      <w:r w:rsidRPr="006A295A">
        <w:t xml:space="preserve"> SEMA/MT prevista na Cláusula Décima Primeira do mesmo contrato.</w:t>
      </w:r>
    </w:p>
    <w:p w14:paraId="43C95095" w14:textId="6B1CEF22" w:rsidR="00D23AFD" w:rsidRPr="006A295A" w:rsidRDefault="00D23AFD" w:rsidP="001601AB">
      <w:pPr>
        <w:pStyle w:val="Paragrfo1"/>
        <w:numPr>
          <w:ilvl w:val="0"/>
          <w:numId w:val="12"/>
        </w:numPr>
        <w:ind w:left="0" w:firstLine="0"/>
      </w:pPr>
      <w:r w:rsidRPr="006A295A">
        <w:t xml:space="preserve">No Ofício nº </w:t>
      </w:r>
      <w:r w:rsidR="001601AB" w:rsidRPr="006A295A">
        <w:t>09/GSALARH/SEMA/MT/2018</w:t>
      </w:r>
      <w:r w:rsidRPr="006A295A">
        <w:t xml:space="preserve">, de </w:t>
      </w:r>
      <w:r w:rsidR="001601AB" w:rsidRPr="006A295A">
        <w:t>3</w:t>
      </w:r>
      <w:r w:rsidRPr="006A295A">
        <w:t xml:space="preserve"> de abril de 201</w:t>
      </w:r>
      <w:r w:rsidR="001601AB" w:rsidRPr="006A295A">
        <w:t>8</w:t>
      </w:r>
      <w:r w:rsidRPr="006A295A">
        <w:t xml:space="preserve"> (Doc. n</w:t>
      </w:r>
      <w:r w:rsidRPr="006A295A">
        <w:rPr>
          <w:vertAlign w:val="superscript"/>
        </w:rPr>
        <w:t>o</w:t>
      </w:r>
      <w:r w:rsidRPr="006A295A">
        <w:t xml:space="preserve"> </w:t>
      </w:r>
      <w:r w:rsidR="001601AB" w:rsidRPr="006A295A">
        <w:t>023538/2018</w:t>
      </w:r>
      <w:r w:rsidRPr="006A295A">
        <w:t>), a S</w:t>
      </w:r>
      <w:r w:rsidR="00B40F0B" w:rsidRPr="006A295A">
        <w:t>EMA/</w:t>
      </w:r>
      <w:r w:rsidR="001601AB" w:rsidRPr="006A295A">
        <w:t>MT solicita a liberação da 1</w:t>
      </w:r>
      <w:r w:rsidRPr="006A295A">
        <w:t xml:space="preserve">ª parcela do </w:t>
      </w:r>
      <w:r w:rsidR="001601AB" w:rsidRPr="006A295A">
        <w:t xml:space="preserve">2º </w:t>
      </w:r>
      <w:r w:rsidR="00FC51A9" w:rsidRPr="006A295A">
        <w:t>c</w:t>
      </w:r>
      <w:r w:rsidR="001601AB" w:rsidRPr="006A295A">
        <w:t xml:space="preserve">iclo do </w:t>
      </w:r>
      <w:r w:rsidRPr="006A295A">
        <w:t>Progestão, conforme previsto no art. 12, Inciso III, item l da Resolução ANA nº 379, de 21 de março de 2013.</w:t>
      </w:r>
    </w:p>
    <w:p w14:paraId="359A7340" w14:textId="527DF04A" w:rsidR="00B40F0B" w:rsidRDefault="00D23AFD" w:rsidP="00D23AFD">
      <w:pPr>
        <w:pStyle w:val="Paragrfo1"/>
        <w:numPr>
          <w:ilvl w:val="0"/>
          <w:numId w:val="12"/>
        </w:numPr>
        <w:ind w:left="0" w:firstLine="0"/>
      </w:pPr>
      <w:r w:rsidRPr="006A295A">
        <w:t xml:space="preserve">Recomenda-se o </w:t>
      </w:r>
      <w:r w:rsidR="00FC51A9" w:rsidRPr="006A295A">
        <w:t>envio desta Nota Técnica à SEMA/</w:t>
      </w:r>
      <w:r w:rsidRPr="006A295A">
        <w:t xml:space="preserve">MT, responsável pelo </w:t>
      </w:r>
      <w:r w:rsidR="00FC51A9" w:rsidRPr="006A295A">
        <w:t>C</w:t>
      </w:r>
      <w:r w:rsidRPr="006A295A">
        <w:t>ontrato Progestão, para ciência e apresentação de contestação, se for o c</w:t>
      </w:r>
      <w:r w:rsidRPr="002C2D24">
        <w:t>aso, no prazo máximo de 10 dias úteis a partir do Aviso de Recebimento</w:t>
      </w:r>
      <w:r w:rsidR="00B40F0B">
        <w:t>.</w:t>
      </w:r>
    </w:p>
    <w:p w14:paraId="375A1531" w14:textId="77777777" w:rsidR="00D23AFD" w:rsidRPr="002C2D24" w:rsidRDefault="00D23AFD" w:rsidP="00B40F0B">
      <w:pPr>
        <w:pStyle w:val="Fecho"/>
      </w:pPr>
      <w:r w:rsidRPr="002C2D24">
        <w:t>Atenciosamente,</w:t>
      </w:r>
    </w:p>
    <w:p w14:paraId="19801F44" w14:textId="77777777" w:rsidR="00B40F0B" w:rsidRDefault="00B40F0B" w:rsidP="00B40F0B">
      <w:pPr>
        <w:pStyle w:val="Assinaturas"/>
      </w:pPr>
    </w:p>
    <w:p w14:paraId="78A614B9" w14:textId="77777777" w:rsidR="00B40F0B" w:rsidRDefault="00B40F0B" w:rsidP="00B40F0B">
      <w:pPr>
        <w:pStyle w:val="Assinaturas"/>
      </w:pPr>
    </w:p>
    <w:p w14:paraId="15EBC47B" w14:textId="677117AC" w:rsidR="00D23AFD" w:rsidRPr="002C2D24" w:rsidRDefault="00D23AFD" w:rsidP="00B40F0B">
      <w:pPr>
        <w:pStyle w:val="Assinaturas"/>
        <w:rPr>
          <w:bCs/>
        </w:rPr>
      </w:pPr>
      <w:r w:rsidRPr="00B40F0B">
        <w:t>(assinado eletronicamente</w:t>
      </w:r>
      <w:r w:rsidRPr="002C2D24">
        <w:t>)</w:t>
      </w:r>
    </w:p>
    <w:p w14:paraId="10DD67B2" w14:textId="664B15F5" w:rsidR="00D23AFD" w:rsidRPr="002C2D24" w:rsidRDefault="002C2D24" w:rsidP="00B40F0B">
      <w:pPr>
        <w:pStyle w:val="Assinaturas"/>
      </w:pPr>
      <w:r w:rsidRPr="002C2D24">
        <w:t>PAULO CELSO MAISTRO SPOLIDÓRIO</w:t>
      </w:r>
    </w:p>
    <w:p w14:paraId="18DFD64F" w14:textId="18833282" w:rsidR="00D23AFD" w:rsidRPr="002C2D24" w:rsidRDefault="002C2D24" w:rsidP="00D23AFD">
      <w:pPr>
        <w:jc w:val="center"/>
        <w:rPr>
          <w:szCs w:val="20"/>
        </w:rPr>
      </w:pPr>
      <w:r w:rsidRPr="002C2D24">
        <w:rPr>
          <w:szCs w:val="20"/>
        </w:rPr>
        <w:t xml:space="preserve">Gestor </w:t>
      </w:r>
      <w:r w:rsidR="00D23AFD" w:rsidRPr="002C2D24">
        <w:rPr>
          <w:szCs w:val="20"/>
        </w:rPr>
        <w:t>do Contrato nº 0</w:t>
      </w:r>
      <w:r w:rsidRPr="002C2D24">
        <w:rPr>
          <w:szCs w:val="20"/>
        </w:rPr>
        <w:t>72</w:t>
      </w:r>
      <w:r w:rsidR="00D23AFD" w:rsidRPr="002C2D24">
        <w:rPr>
          <w:szCs w:val="20"/>
        </w:rPr>
        <w:t>/</w:t>
      </w:r>
      <w:r w:rsidRPr="002C2D24">
        <w:rPr>
          <w:szCs w:val="20"/>
        </w:rPr>
        <w:t>2017/ANA</w:t>
      </w:r>
    </w:p>
    <w:p w14:paraId="5E2D427B" w14:textId="15B02719" w:rsidR="00D23AFD" w:rsidRPr="002C2D24" w:rsidRDefault="002C2D24" w:rsidP="00D23AFD">
      <w:pPr>
        <w:jc w:val="center"/>
        <w:rPr>
          <w:szCs w:val="20"/>
        </w:rPr>
      </w:pPr>
      <w:r w:rsidRPr="002C2D24">
        <w:rPr>
          <w:szCs w:val="20"/>
        </w:rPr>
        <w:t>Portaria nº 207</w:t>
      </w:r>
      <w:r w:rsidR="00D23AFD" w:rsidRPr="002C2D24">
        <w:rPr>
          <w:szCs w:val="20"/>
        </w:rPr>
        <w:t xml:space="preserve">, de </w:t>
      </w:r>
      <w:r w:rsidRPr="002C2D24">
        <w:rPr>
          <w:szCs w:val="20"/>
        </w:rPr>
        <w:t>18</w:t>
      </w:r>
      <w:r w:rsidR="00D23AFD" w:rsidRPr="002C2D24">
        <w:rPr>
          <w:szCs w:val="20"/>
        </w:rPr>
        <w:t xml:space="preserve"> de </w:t>
      </w:r>
      <w:r w:rsidRPr="002C2D24">
        <w:rPr>
          <w:szCs w:val="20"/>
        </w:rPr>
        <w:t>maio de 2018</w:t>
      </w:r>
    </w:p>
    <w:p w14:paraId="095C41DA" w14:textId="77777777" w:rsidR="00D23AFD" w:rsidRPr="002C2D24" w:rsidRDefault="00D23AFD" w:rsidP="00D23AFD">
      <w:pPr>
        <w:jc w:val="center"/>
        <w:rPr>
          <w:rStyle w:val="Destaque"/>
          <w:color w:val="auto"/>
          <w:szCs w:val="20"/>
        </w:rPr>
      </w:pPr>
    </w:p>
    <w:p w14:paraId="33570184" w14:textId="77777777" w:rsidR="00D23AFD" w:rsidRPr="002C2D24" w:rsidRDefault="00D23AFD" w:rsidP="00D23AFD">
      <w:pPr>
        <w:pStyle w:val="Corpodetexto"/>
        <w:tabs>
          <w:tab w:val="left" w:pos="1440"/>
        </w:tabs>
        <w:rPr>
          <w:rFonts w:cs="Century Gothic"/>
        </w:rPr>
      </w:pPr>
      <w:r w:rsidRPr="002C2D24">
        <w:rPr>
          <w:rStyle w:val="Destaque"/>
          <w:color w:val="auto"/>
          <w:szCs w:val="20"/>
        </w:rPr>
        <w:t xml:space="preserve">De acordo. </w:t>
      </w:r>
      <w:r w:rsidRPr="002C2D24">
        <w:t>Ao Superintendente de Apoio ao SINGREH para conhecimento.</w:t>
      </w:r>
    </w:p>
    <w:p w14:paraId="52D99108" w14:textId="77777777" w:rsidR="00B40F0B" w:rsidRDefault="00B40F0B" w:rsidP="00B40F0B">
      <w:pPr>
        <w:pStyle w:val="Assinaturas"/>
      </w:pPr>
    </w:p>
    <w:p w14:paraId="61D33E22" w14:textId="77777777" w:rsidR="00B40F0B" w:rsidRDefault="00B40F0B" w:rsidP="00B40F0B">
      <w:pPr>
        <w:pStyle w:val="Assinaturas"/>
      </w:pPr>
    </w:p>
    <w:p w14:paraId="2BE1FD12" w14:textId="18CF3FE7" w:rsidR="00D23AFD" w:rsidRPr="002C2D24" w:rsidRDefault="00D23AFD" w:rsidP="00B40F0B">
      <w:pPr>
        <w:pStyle w:val="Assinaturas"/>
        <w:rPr>
          <w:rStyle w:val="Destaque"/>
          <w:color w:val="auto"/>
          <w:szCs w:val="20"/>
        </w:rPr>
      </w:pPr>
      <w:r w:rsidRPr="002C2D24">
        <w:t>(assinado eletronicamente)</w:t>
      </w:r>
    </w:p>
    <w:p w14:paraId="17B66665" w14:textId="77777777" w:rsidR="00D23AFD" w:rsidRPr="002C2D24" w:rsidRDefault="00D23AFD" w:rsidP="00B40F0B">
      <w:pPr>
        <w:pStyle w:val="Assinaturas"/>
        <w:rPr>
          <w:rStyle w:val="Destaque"/>
          <w:color w:val="auto"/>
          <w:szCs w:val="20"/>
        </w:rPr>
      </w:pPr>
      <w:r w:rsidRPr="002C2D24">
        <w:rPr>
          <w:rStyle w:val="Destaque"/>
          <w:color w:val="auto"/>
          <w:szCs w:val="20"/>
        </w:rPr>
        <w:t>LUDMILA ALVES RODRIGUES</w:t>
      </w:r>
    </w:p>
    <w:p w14:paraId="4B82F5C6" w14:textId="77777777" w:rsidR="00D23AFD" w:rsidRPr="002C2D24" w:rsidRDefault="00D23AFD" w:rsidP="00B40F0B">
      <w:pPr>
        <w:pStyle w:val="Assinaturas"/>
        <w:rPr>
          <w:rFonts w:cs="Century Gothic"/>
        </w:rPr>
      </w:pPr>
      <w:r w:rsidRPr="002C2D24">
        <w:t>Coordenadora de Apoio e Articulação com o Poder Público</w:t>
      </w:r>
    </w:p>
    <w:p w14:paraId="7A1B98E6" w14:textId="77777777" w:rsidR="00D23AFD" w:rsidRPr="002C2D24" w:rsidRDefault="00D23AFD" w:rsidP="00B40F0B">
      <w:pPr>
        <w:pStyle w:val="Assinaturas"/>
      </w:pPr>
    </w:p>
    <w:p w14:paraId="0FC5A5F2" w14:textId="0B9D9089" w:rsidR="00D23AFD" w:rsidRPr="002C2D24" w:rsidRDefault="00D23AFD" w:rsidP="00D23AFD">
      <w:pPr>
        <w:jc w:val="both"/>
        <w:rPr>
          <w:szCs w:val="20"/>
        </w:rPr>
      </w:pPr>
      <w:r w:rsidRPr="002C2D24">
        <w:rPr>
          <w:szCs w:val="20"/>
        </w:rPr>
        <w:t>C</w:t>
      </w:r>
      <w:r w:rsidR="00B40F0B">
        <w:rPr>
          <w:szCs w:val="20"/>
        </w:rPr>
        <w:t>iente. Encaminhar à SEMA/</w:t>
      </w:r>
      <w:r w:rsidRPr="002C2D24">
        <w:rPr>
          <w:szCs w:val="20"/>
        </w:rPr>
        <w:t>MT para ciência e apresentação de contestação no prazo máximo de 10 dias úteis, se for o caso.</w:t>
      </w:r>
    </w:p>
    <w:p w14:paraId="6E782E12" w14:textId="77777777" w:rsidR="00B40F0B" w:rsidRDefault="00B40F0B" w:rsidP="00B40F0B">
      <w:pPr>
        <w:pStyle w:val="Assinaturas"/>
      </w:pPr>
    </w:p>
    <w:p w14:paraId="3E37C39B" w14:textId="77777777" w:rsidR="00B40F0B" w:rsidRDefault="00B40F0B" w:rsidP="00B40F0B">
      <w:pPr>
        <w:pStyle w:val="Assinaturas"/>
      </w:pPr>
    </w:p>
    <w:p w14:paraId="2C7BE817" w14:textId="3382DBD2" w:rsidR="00D23AFD" w:rsidRPr="002C2D24" w:rsidRDefault="00D23AFD" w:rsidP="00B40F0B">
      <w:pPr>
        <w:pStyle w:val="Assinaturas"/>
      </w:pPr>
      <w:r w:rsidRPr="002C2D24">
        <w:t>(assinado eletronicamente)</w:t>
      </w:r>
    </w:p>
    <w:p w14:paraId="28839685" w14:textId="77777777" w:rsidR="00D23AFD" w:rsidRPr="002C2D24" w:rsidRDefault="00D23AFD" w:rsidP="00D23AFD">
      <w:pPr>
        <w:pStyle w:val="Corpodetexto"/>
        <w:tabs>
          <w:tab w:val="left" w:pos="1440"/>
        </w:tabs>
        <w:jc w:val="center"/>
      </w:pPr>
      <w:r w:rsidRPr="002C2D24">
        <w:t>HUMBERTO CARDOSO GONÇALVES</w:t>
      </w:r>
    </w:p>
    <w:p w14:paraId="5B322FD3" w14:textId="77777777" w:rsidR="00D23AFD" w:rsidRPr="00D23AFD" w:rsidRDefault="00D23AFD" w:rsidP="00D23AFD">
      <w:pPr>
        <w:pStyle w:val="Corpodetexto"/>
        <w:tabs>
          <w:tab w:val="left" w:pos="1440"/>
        </w:tabs>
        <w:jc w:val="center"/>
        <w:rPr>
          <w:rStyle w:val="Destaque"/>
          <w:color w:val="FF0000"/>
          <w:szCs w:val="20"/>
        </w:rPr>
      </w:pPr>
      <w:r w:rsidRPr="002C2D24">
        <w:t>Superintendente de Apoio ao Sistema Nacional de Gerenciamento de Recursos Hídricos</w:t>
      </w:r>
      <w:r w:rsidRPr="002C2D24">
        <w:rPr>
          <w:rStyle w:val="Destaque"/>
          <w:color w:val="auto"/>
          <w:szCs w:val="20"/>
        </w:rPr>
        <w:t xml:space="preserve"> </w:t>
      </w:r>
      <w:r w:rsidRPr="00D23AFD">
        <w:rPr>
          <w:rStyle w:val="Destaque"/>
          <w:color w:val="FF0000"/>
          <w:szCs w:val="20"/>
        </w:rPr>
        <w:br w:type="page"/>
      </w:r>
    </w:p>
    <w:p w14:paraId="2F61A4BE" w14:textId="2CA36FF9" w:rsidR="00D23AFD" w:rsidRPr="004E2BA1" w:rsidRDefault="00D23AFD" w:rsidP="00D23AFD">
      <w:pPr>
        <w:spacing w:after="120"/>
        <w:jc w:val="center"/>
        <w:rPr>
          <w:rStyle w:val="Destaque"/>
          <w:b/>
          <w:color w:val="auto"/>
          <w:szCs w:val="20"/>
        </w:rPr>
      </w:pPr>
      <w:r w:rsidRPr="004E2BA1">
        <w:rPr>
          <w:rStyle w:val="Destaque"/>
          <w:b/>
          <w:color w:val="auto"/>
          <w:szCs w:val="20"/>
        </w:rPr>
        <w:lastRenderedPageBreak/>
        <w:t>ANEXO I</w:t>
      </w:r>
    </w:p>
    <w:p w14:paraId="150B5DD4" w14:textId="0EA8EF71" w:rsidR="004E2BA1" w:rsidRPr="006F558B" w:rsidRDefault="0047538E" w:rsidP="00D23AFD">
      <w:pPr>
        <w:spacing w:after="120"/>
        <w:jc w:val="center"/>
        <w:rPr>
          <w:rStyle w:val="Destaque"/>
          <w:b/>
          <w:color w:val="auto"/>
          <w:szCs w:val="20"/>
        </w:rPr>
      </w:pPr>
      <w:r w:rsidRPr="0047538E">
        <w:rPr>
          <w:rStyle w:val="Destaque"/>
          <w:noProof/>
          <w:color w:val="auto"/>
        </w:rPr>
        <w:drawing>
          <wp:inline distT="0" distB="0" distL="0" distR="0" wp14:anchorId="113CBF72" wp14:editId="611F9172">
            <wp:extent cx="5939790" cy="7597522"/>
            <wp:effectExtent l="0" t="0" r="381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59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2BA1" w:rsidRPr="006F558B">
      <w:headerReference w:type="default" r:id="rId14"/>
      <w:footerReference w:type="default" r:id="rId15"/>
      <w:pgSz w:w="11906" w:h="16838"/>
      <w:pgMar w:top="1134" w:right="851" w:bottom="113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85172" w14:textId="77777777" w:rsidR="0084328A" w:rsidRDefault="0084328A">
      <w:r>
        <w:separator/>
      </w:r>
    </w:p>
  </w:endnote>
  <w:endnote w:type="continuationSeparator" w:id="0">
    <w:p w14:paraId="33533FAF" w14:textId="77777777" w:rsidR="0084328A" w:rsidRDefault="0084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Nexa Light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54304013"/>
      <w:docPartObj>
        <w:docPartGallery w:val="Page Numbers (Bottom of Page)"/>
        <w:docPartUnique/>
      </w:docPartObj>
    </w:sdtPr>
    <w:sdtEndPr/>
    <w:sdtContent>
      <w:p w14:paraId="041C2FDF" w14:textId="26A2E174" w:rsidR="0084328A" w:rsidRDefault="0084328A">
        <w:pPr>
          <w:pStyle w:val="Rodap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 w:rsidR="00554F43">
          <w:rPr>
            <w:noProof/>
            <w:sz w:val="16"/>
            <w:szCs w:val="16"/>
          </w:rPr>
          <w:t>6</w:t>
        </w:r>
        <w:r>
          <w:rPr>
            <w:sz w:val="16"/>
            <w:szCs w:val="16"/>
          </w:rPr>
          <w:fldChar w:fldCharType="end"/>
        </w:r>
      </w:p>
    </w:sdtContent>
  </w:sdt>
  <w:p w14:paraId="041C2FE0" w14:textId="77777777" w:rsidR="0084328A" w:rsidRDefault="0084328A">
    <w:pPr>
      <w:rPr>
        <w:sz w:val="16"/>
        <w:szCs w:val="16"/>
      </w:rPr>
    </w:pPr>
    <w:r>
      <w:rPr>
        <w:sz w:val="16"/>
        <w:szCs w:val="16"/>
      </w:rPr>
      <w:t>Nota Técnica nº @@txt_identificacao@@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C7001" w14:textId="77777777" w:rsidR="0084328A" w:rsidRDefault="0084328A">
      <w:r>
        <w:separator/>
      </w:r>
    </w:p>
  </w:footnote>
  <w:footnote w:type="continuationSeparator" w:id="0">
    <w:p w14:paraId="08805DE5" w14:textId="77777777" w:rsidR="0084328A" w:rsidRDefault="00843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C2FDE" w14:textId="77777777" w:rsidR="0084328A" w:rsidRDefault="0084328A" w:rsidP="00370DDE">
    <w:pPr>
      <w:pStyle w:val="Cabealho"/>
      <w:spacing w:after="600"/>
    </w:pPr>
    <w:r>
      <w:rPr>
        <w:noProof/>
      </w:rPr>
      <w:drawing>
        <wp:inline distT="0" distB="0" distL="0" distR="0" wp14:anchorId="041C2FE1" wp14:editId="041C2FE2">
          <wp:extent cx="1260000" cy="5400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02741"/>
    <w:multiLevelType w:val="hybridMultilevel"/>
    <w:tmpl w:val="21B0DAC8"/>
    <w:lvl w:ilvl="0" w:tplc="BFF0D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4D6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4E3C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7033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0D4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6054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7A73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BC8A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3EEB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A637E"/>
    <w:multiLevelType w:val="hybridMultilevel"/>
    <w:tmpl w:val="256E6FE8"/>
    <w:lvl w:ilvl="0" w:tplc="8DAEF768">
      <w:start w:val="1"/>
      <w:numFmt w:val="decimal"/>
      <w:pStyle w:val="Paragrfo1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1994CC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22C9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5478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3448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3A1B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E23F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1AFE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FEE5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2E3FB0"/>
    <w:multiLevelType w:val="multilevel"/>
    <w:tmpl w:val="0F302A04"/>
    <w:lvl w:ilvl="0">
      <w:start w:val="1"/>
      <w:numFmt w:val="decimal"/>
      <w:pStyle w:val="RelAtv-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RelAtv-2"/>
      <w:lvlText w:val="%1.%2."/>
      <w:lvlJc w:val="left"/>
      <w:pPr>
        <w:tabs>
          <w:tab w:val="num" w:pos="1992"/>
        </w:tabs>
        <w:ind w:left="1992" w:hanging="432"/>
      </w:pPr>
      <w:rPr>
        <w:rFonts w:cs="Times New Roman" w:hint="default"/>
      </w:rPr>
    </w:lvl>
    <w:lvl w:ilvl="2">
      <w:start w:val="1"/>
      <w:numFmt w:val="decimal"/>
      <w:pStyle w:val="RelAtv-3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6491051"/>
    <w:multiLevelType w:val="hybridMultilevel"/>
    <w:tmpl w:val="6F8A80F6"/>
    <w:lvl w:ilvl="0" w:tplc="E688876E">
      <w:start w:val="1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bdr w:val="none" w:sz="0" w:space="0" w:color="auto" w:frame="1"/>
      </w:rPr>
    </w:lvl>
    <w:lvl w:ilvl="1" w:tplc="09FEC5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dr w:val="none" w:sz="0" w:space="0" w:color="auto" w:frame="1"/>
      </w:rPr>
    </w:lvl>
    <w:lvl w:ilvl="2" w:tplc="E3B059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dr w:val="none" w:sz="0" w:space="0" w:color="auto" w:frame="1"/>
      </w:rPr>
    </w:lvl>
    <w:lvl w:ilvl="3" w:tplc="5C909B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dr w:val="none" w:sz="0" w:space="0" w:color="auto" w:frame="1"/>
      </w:rPr>
    </w:lvl>
    <w:lvl w:ilvl="4" w:tplc="768C7E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dr w:val="none" w:sz="0" w:space="0" w:color="auto" w:frame="1"/>
      </w:rPr>
    </w:lvl>
    <w:lvl w:ilvl="5" w:tplc="DAF450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dr w:val="none" w:sz="0" w:space="0" w:color="auto" w:frame="1"/>
      </w:rPr>
    </w:lvl>
    <w:lvl w:ilvl="6" w:tplc="A120E0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dr w:val="none" w:sz="0" w:space="0" w:color="auto" w:frame="1"/>
      </w:rPr>
    </w:lvl>
    <w:lvl w:ilvl="7" w:tplc="6750DB7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dr w:val="none" w:sz="0" w:space="0" w:color="auto" w:frame="1"/>
      </w:rPr>
    </w:lvl>
    <w:lvl w:ilvl="8" w:tplc="F3D6F4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dr w:val="none" w:sz="0" w:space="0" w:color="auto" w:frame="1"/>
      </w:rPr>
    </w:lvl>
  </w:abstractNum>
  <w:abstractNum w:abstractNumId="4" w15:restartNumberingAfterBreak="0">
    <w:nsid w:val="2A4B4C56"/>
    <w:multiLevelType w:val="hybridMultilevel"/>
    <w:tmpl w:val="6A0830DC"/>
    <w:lvl w:ilvl="0" w:tplc="CE8A389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0"/>
      </w:rPr>
    </w:lvl>
    <w:lvl w:ilvl="1" w:tplc="FF3080EE">
      <w:start w:val="1"/>
      <w:numFmt w:val="lowerLetter"/>
      <w:lvlText w:val="%2."/>
      <w:lvlJc w:val="left"/>
      <w:pPr>
        <w:ind w:left="1440" w:hanging="360"/>
      </w:pPr>
    </w:lvl>
    <w:lvl w:ilvl="2" w:tplc="C1185BB6">
      <w:start w:val="1"/>
      <w:numFmt w:val="lowerRoman"/>
      <w:lvlText w:val="%3."/>
      <w:lvlJc w:val="right"/>
      <w:pPr>
        <w:ind w:left="2160" w:hanging="180"/>
      </w:pPr>
    </w:lvl>
    <w:lvl w:ilvl="3" w:tplc="D3EA4624">
      <w:start w:val="1"/>
      <w:numFmt w:val="decimal"/>
      <w:lvlText w:val="%4."/>
      <w:lvlJc w:val="left"/>
      <w:pPr>
        <w:ind w:left="2880" w:hanging="360"/>
      </w:pPr>
    </w:lvl>
    <w:lvl w:ilvl="4" w:tplc="68C6D5EC">
      <w:start w:val="1"/>
      <w:numFmt w:val="lowerLetter"/>
      <w:lvlText w:val="%5."/>
      <w:lvlJc w:val="left"/>
      <w:pPr>
        <w:ind w:left="3600" w:hanging="360"/>
      </w:pPr>
    </w:lvl>
    <w:lvl w:ilvl="5" w:tplc="48FAF7B2">
      <w:start w:val="1"/>
      <w:numFmt w:val="lowerRoman"/>
      <w:lvlText w:val="%6."/>
      <w:lvlJc w:val="right"/>
      <w:pPr>
        <w:ind w:left="4320" w:hanging="180"/>
      </w:pPr>
    </w:lvl>
    <w:lvl w:ilvl="6" w:tplc="06322420">
      <w:start w:val="1"/>
      <w:numFmt w:val="decimal"/>
      <w:lvlText w:val="%7."/>
      <w:lvlJc w:val="left"/>
      <w:pPr>
        <w:ind w:left="5040" w:hanging="360"/>
      </w:pPr>
    </w:lvl>
    <w:lvl w:ilvl="7" w:tplc="32B0D8A6">
      <w:start w:val="1"/>
      <w:numFmt w:val="lowerLetter"/>
      <w:lvlText w:val="%8."/>
      <w:lvlJc w:val="left"/>
      <w:pPr>
        <w:ind w:left="5760" w:hanging="360"/>
      </w:pPr>
    </w:lvl>
    <w:lvl w:ilvl="8" w:tplc="DBD8659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E2A6C"/>
    <w:multiLevelType w:val="multilevel"/>
    <w:tmpl w:val="74B0039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37AB67EF"/>
    <w:multiLevelType w:val="multilevel"/>
    <w:tmpl w:val="F71A4A4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48621642"/>
    <w:multiLevelType w:val="multilevel"/>
    <w:tmpl w:val="2AE281B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4D2F4494"/>
    <w:multiLevelType w:val="multilevel"/>
    <w:tmpl w:val="4A32B6A8"/>
    <w:lvl w:ilvl="0">
      <w:start w:val="1"/>
      <w:numFmt w:val="ordinalText"/>
      <w:lvlText w:val="CLÁUSULA %1"/>
      <w:lvlJc w:val="left"/>
      <w:pPr>
        <w:ind w:left="720" w:hanging="360"/>
      </w:pPr>
      <w:rPr>
        <w:rFonts w:ascii="Century Gothic" w:hAnsi="Century Gothic"/>
        <w:cap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C2905"/>
    <w:multiLevelType w:val="hybridMultilevel"/>
    <w:tmpl w:val="DE7E467A"/>
    <w:lvl w:ilvl="0" w:tplc="2190020C">
      <w:start w:val="1"/>
      <w:numFmt w:val="ordinalText"/>
      <w:pStyle w:val="Numerao1"/>
      <w:lvlText w:val="CLÁSURA %1 -"/>
      <w:lvlJc w:val="left"/>
      <w:pPr>
        <w:ind w:left="720" w:hanging="360"/>
      </w:pPr>
      <w:rPr>
        <w:rFonts w:ascii="Century Gothic" w:hAnsi="Century Gothic" w:hint="default"/>
        <w:b w:val="0"/>
        <w:i w:val="0"/>
        <w:caps/>
        <w:sz w:val="20"/>
      </w:rPr>
    </w:lvl>
    <w:lvl w:ilvl="1" w:tplc="E878D224">
      <w:start w:val="1"/>
      <w:numFmt w:val="lowerLetter"/>
      <w:lvlText w:val="%2."/>
      <w:lvlJc w:val="left"/>
      <w:pPr>
        <w:ind w:left="1440" w:hanging="360"/>
      </w:pPr>
    </w:lvl>
    <w:lvl w:ilvl="2" w:tplc="4C18C8C6">
      <w:start w:val="1"/>
      <w:numFmt w:val="lowerRoman"/>
      <w:lvlText w:val="%3."/>
      <w:lvlJc w:val="right"/>
      <w:pPr>
        <w:ind w:left="2160" w:hanging="180"/>
      </w:pPr>
    </w:lvl>
    <w:lvl w:ilvl="3" w:tplc="0D7214C6">
      <w:start w:val="1"/>
      <w:numFmt w:val="decimal"/>
      <w:lvlText w:val="%4."/>
      <w:lvlJc w:val="left"/>
      <w:pPr>
        <w:ind w:left="2880" w:hanging="360"/>
      </w:pPr>
    </w:lvl>
    <w:lvl w:ilvl="4" w:tplc="61DC98B8">
      <w:start w:val="1"/>
      <w:numFmt w:val="lowerLetter"/>
      <w:lvlText w:val="%5."/>
      <w:lvlJc w:val="left"/>
      <w:pPr>
        <w:ind w:left="3600" w:hanging="360"/>
      </w:pPr>
    </w:lvl>
    <w:lvl w:ilvl="5" w:tplc="5A24A43A">
      <w:start w:val="1"/>
      <w:numFmt w:val="lowerRoman"/>
      <w:lvlText w:val="%6."/>
      <w:lvlJc w:val="right"/>
      <w:pPr>
        <w:ind w:left="4320" w:hanging="180"/>
      </w:pPr>
    </w:lvl>
    <w:lvl w:ilvl="6" w:tplc="C54806B2">
      <w:start w:val="1"/>
      <w:numFmt w:val="decimal"/>
      <w:lvlText w:val="%7."/>
      <w:lvlJc w:val="left"/>
      <w:pPr>
        <w:ind w:left="5040" w:hanging="360"/>
      </w:pPr>
    </w:lvl>
    <w:lvl w:ilvl="7" w:tplc="5810F1AE">
      <w:start w:val="1"/>
      <w:numFmt w:val="lowerLetter"/>
      <w:lvlText w:val="%8."/>
      <w:lvlJc w:val="left"/>
      <w:pPr>
        <w:ind w:left="5760" w:hanging="360"/>
      </w:pPr>
    </w:lvl>
    <w:lvl w:ilvl="8" w:tplc="4EC6688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B02AF"/>
    <w:multiLevelType w:val="hybridMultilevel"/>
    <w:tmpl w:val="344A7232"/>
    <w:lvl w:ilvl="0" w:tplc="7938FABE">
      <w:start w:val="1"/>
      <w:numFmt w:val="ordinalText"/>
      <w:lvlText w:val="CLÁSURA %1 -"/>
      <w:lvlJc w:val="left"/>
      <w:pPr>
        <w:ind w:left="720" w:hanging="360"/>
      </w:pPr>
      <w:rPr>
        <w:rFonts w:ascii="Century Gothic" w:hAnsi="Century Gothic" w:hint="default"/>
        <w:b w:val="0"/>
        <w:i w:val="0"/>
        <w:caps/>
        <w:sz w:val="20"/>
      </w:rPr>
    </w:lvl>
    <w:lvl w:ilvl="1" w:tplc="F7006F06">
      <w:start w:val="1"/>
      <w:numFmt w:val="lowerLetter"/>
      <w:lvlText w:val="%2."/>
      <w:lvlJc w:val="left"/>
      <w:pPr>
        <w:ind w:left="1440" w:hanging="360"/>
      </w:pPr>
    </w:lvl>
    <w:lvl w:ilvl="2" w:tplc="C2C6B3AA">
      <w:start w:val="1"/>
      <w:numFmt w:val="lowerRoman"/>
      <w:lvlText w:val="%3."/>
      <w:lvlJc w:val="right"/>
      <w:pPr>
        <w:ind w:left="2160" w:hanging="180"/>
      </w:pPr>
    </w:lvl>
    <w:lvl w:ilvl="3" w:tplc="24869ABA">
      <w:start w:val="1"/>
      <w:numFmt w:val="decimal"/>
      <w:lvlText w:val="%4."/>
      <w:lvlJc w:val="left"/>
      <w:pPr>
        <w:ind w:left="2880" w:hanging="360"/>
      </w:pPr>
    </w:lvl>
    <w:lvl w:ilvl="4" w:tplc="3EC20340">
      <w:start w:val="1"/>
      <w:numFmt w:val="lowerLetter"/>
      <w:lvlText w:val="%5."/>
      <w:lvlJc w:val="left"/>
      <w:pPr>
        <w:ind w:left="3600" w:hanging="360"/>
      </w:pPr>
    </w:lvl>
    <w:lvl w:ilvl="5" w:tplc="05B8D95E">
      <w:start w:val="1"/>
      <w:numFmt w:val="lowerRoman"/>
      <w:lvlText w:val="%6."/>
      <w:lvlJc w:val="right"/>
      <w:pPr>
        <w:ind w:left="4320" w:hanging="180"/>
      </w:pPr>
    </w:lvl>
    <w:lvl w:ilvl="6" w:tplc="7E146036">
      <w:start w:val="1"/>
      <w:numFmt w:val="decimal"/>
      <w:lvlText w:val="%7."/>
      <w:lvlJc w:val="left"/>
      <w:pPr>
        <w:ind w:left="5040" w:hanging="360"/>
      </w:pPr>
    </w:lvl>
    <w:lvl w:ilvl="7" w:tplc="6A606F6C">
      <w:start w:val="1"/>
      <w:numFmt w:val="lowerLetter"/>
      <w:lvlText w:val="%8."/>
      <w:lvlJc w:val="left"/>
      <w:pPr>
        <w:ind w:left="5760" w:hanging="360"/>
      </w:pPr>
    </w:lvl>
    <w:lvl w:ilvl="8" w:tplc="EED64C0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85749"/>
    <w:multiLevelType w:val="hybridMultilevel"/>
    <w:tmpl w:val="B8E84B0C"/>
    <w:lvl w:ilvl="0" w:tplc="8FA2BB42">
      <w:start w:val="1"/>
      <w:numFmt w:val="decimal"/>
      <w:pStyle w:val="Geral1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0"/>
      </w:rPr>
    </w:lvl>
    <w:lvl w:ilvl="1" w:tplc="4B06B262">
      <w:start w:val="1"/>
      <w:numFmt w:val="lowerLetter"/>
      <w:lvlText w:val="%2."/>
      <w:lvlJc w:val="left"/>
      <w:pPr>
        <w:ind w:left="1440" w:hanging="360"/>
      </w:pPr>
    </w:lvl>
    <w:lvl w:ilvl="2" w:tplc="04D82D76">
      <w:start w:val="1"/>
      <w:numFmt w:val="lowerRoman"/>
      <w:lvlText w:val="%3."/>
      <w:lvlJc w:val="right"/>
      <w:pPr>
        <w:ind w:left="2160" w:hanging="180"/>
      </w:pPr>
    </w:lvl>
    <w:lvl w:ilvl="3" w:tplc="878C96B2">
      <w:start w:val="1"/>
      <w:numFmt w:val="decimal"/>
      <w:lvlText w:val="%4."/>
      <w:lvlJc w:val="left"/>
      <w:pPr>
        <w:ind w:left="2880" w:hanging="360"/>
      </w:pPr>
    </w:lvl>
    <w:lvl w:ilvl="4" w:tplc="995AB1AE">
      <w:start w:val="1"/>
      <w:numFmt w:val="lowerLetter"/>
      <w:lvlText w:val="%5."/>
      <w:lvlJc w:val="left"/>
      <w:pPr>
        <w:ind w:left="3600" w:hanging="360"/>
      </w:pPr>
    </w:lvl>
    <w:lvl w:ilvl="5" w:tplc="F40AD3B2">
      <w:start w:val="1"/>
      <w:numFmt w:val="lowerRoman"/>
      <w:lvlText w:val="%6."/>
      <w:lvlJc w:val="right"/>
      <w:pPr>
        <w:ind w:left="4320" w:hanging="180"/>
      </w:pPr>
    </w:lvl>
    <w:lvl w:ilvl="6" w:tplc="E800DC7C">
      <w:start w:val="1"/>
      <w:numFmt w:val="decimal"/>
      <w:lvlText w:val="%7."/>
      <w:lvlJc w:val="left"/>
      <w:pPr>
        <w:ind w:left="5040" w:hanging="360"/>
      </w:pPr>
    </w:lvl>
    <w:lvl w:ilvl="7" w:tplc="19A8C690">
      <w:start w:val="1"/>
      <w:numFmt w:val="lowerLetter"/>
      <w:lvlText w:val="%8."/>
      <w:lvlJc w:val="left"/>
      <w:pPr>
        <w:ind w:left="5760" w:hanging="360"/>
      </w:pPr>
    </w:lvl>
    <w:lvl w:ilvl="8" w:tplc="1A24187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trackedChanges" w:enforcement="0"/>
  <w:defaultTabStop w:val="708"/>
  <w:hyphenationZone w:val="425"/>
  <w:doNotHyphenateCap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1D"/>
    <w:rsid w:val="0000218C"/>
    <w:rsid w:val="00043D13"/>
    <w:rsid w:val="00054B04"/>
    <w:rsid w:val="001024CE"/>
    <w:rsid w:val="00111D3E"/>
    <w:rsid w:val="001601AB"/>
    <w:rsid w:val="001D2484"/>
    <w:rsid w:val="00287501"/>
    <w:rsid w:val="002C2D24"/>
    <w:rsid w:val="002D37B3"/>
    <w:rsid w:val="00325E00"/>
    <w:rsid w:val="003545C9"/>
    <w:rsid w:val="00370DDE"/>
    <w:rsid w:val="003C6F11"/>
    <w:rsid w:val="003D1ADC"/>
    <w:rsid w:val="003D2FF7"/>
    <w:rsid w:val="00443CD6"/>
    <w:rsid w:val="0047538E"/>
    <w:rsid w:val="004C64C4"/>
    <w:rsid w:val="004E2BA1"/>
    <w:rsid w:val="00512E21"/>
    <w:rsid w:val="00544760"/>
    <w:rsid w:val="00554F43"/>
    <w:rsid w:val="00556975"/>
    <w:rsid w:val="00586B5F"/>
    <w:rsid w:val="005A3F67"/>
    <w:rsid w:val="005D03C8"/>
    <w:rsid w:val="00673A6E"/>
    <w:rsid w:val="006A295A"/>
    <w:rsid w:val="006B261E"/>
    <w:rsid w:val="006F558B"/>
    <w:rsid w:val="006F7F47"/>
    <w:rsid w:val="00725412"/>
    <w:rsid w:val="00732A2B"/>
    <w:rsid w:val="00780FE9"/>
    <w:rsid w:val="007C43F7"/>
    <w:rsid w:val="00805787"/>
    <w:rsid w:val="008200C8"/>
    <w:rsid w:val="00830F37"/>
    <w:rsid w:val="0084328A"/>
    <w:rsid w:val="00867FC6"/>
    <w:rsid w:val="008A5BC9"/>
    <w:rsid w:val="008B0E76"/>
    <w:rsid w:val="008B1BFE"/>
    <w:rsid w:val="00945EA8"/>
    <w:rsid w:val="009701EB"/>
    <w:rsid w:val="009D7BAC"/>
    <w:rsid w:val="009F318B"/>
    <w:rsid w:val="00A174E7"/>
    <w:rsid w:val="00A32189"/>
    <w:rsid w:val="00A56DDC"/>
    <w:rsid w:val="00A644F4"/>
    <w:rsid w:val="00AB540D"/>
    <w:rsid w:val="00AC6F70"/>
    <w:rsid w:val="00AC7A5B"/>
    <w:rsid w:val="00AE0E19"/>
    <w:rsid w:val="00AE4879"/>
    <w:rsid w:val="00B20657"/>
    <w:rsid w:val="00B2201D"/>
    <w:rsid w:val="00B40F0B"/>
    <w:rsid w:val="00B440CB"/>
    <w:rsid w:val="00BA3111"/>
    <w:rsid w:val="00BB4A38"/>
    <w:rsid w:val="00BE1A62"/>
    <w:rsid w:val="00C06D74"/>
    <w:rsid w:val="00C0713F"/>
    <w:rsid w:val="00C71FA3"/>
    <w:rsid w:val="00C7401F"/>
    <w:rsid w:val="00C74540"/>
    <w:rsid w:val="00CA7D17"/>
    <w:rsid w:val="00CE6A62"/>
    <w:rsid w:val="00D00F43"/>
    <w:rsid w:val="00D23AFD"/>
    <w:rsid w:val="00D30F36"/>
    <w:rsid w:val="00DC2E37"/>
    <w:rsid w:val="00DF2900"/>
    <w:rsid w:val="00DF29A5"/>
    <w:rsid w:val="00E22900"/>
    <w:rsid w:val="00E5290C"/>
    <w:rsid w:val="00E53631"/>
    <w:rsid w:val="00E6653F"/>
    <w:rsid w:val="00F60C6E"/>
    <w:rsid w:val="00FA2A89"/>
    <w:rsid w:val="00FB0D04"/>
    <w:rsid w:val="00FC11F3"/>
    <w:rsid w:val="00FC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2FD0"/>
  <w15:chartTrackingRefBased/>
  <w15:docId w15:val="{0B54D4C1-BC3C-4D38-B42E-365F03C7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left"/>
    </w:pPr>
    <w:rPr>
      <w:rFonts w:ascii="Century Gothic" w:hAnsi="Century Gothic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suppressAutoHyphens/>
      <w:jc w:val="center"/>
      <w:outlineLvl w:val="0"/>
    </w:pPr>
    <w:rPr>
      <w:sz w:val="40"/>
      <w:lang w:eastAsia="ar-SA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suppressAutoHyphens/>
      <w:spacing w:before="120" w:after="120"/>
      <w:jc w:val="center"/>
      <w:outlineLvl w:val="1"/>
    </w:pPr>
    <w:rPr>
      <w:rFonts w:eastAsiaTheme="majorEastAsia" w:cs="Arial"/>
      <w:b/>
      <w:bCs/>
      <w:lang w:eastAsia="ar-SA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suppressAutoHyphens/>
      <w:spacing w:before="60" w:after="60"/>
      <w:jc w:val="both"/>
      <w:outlineLvl w:val="2"/>
    </w:pPr>
    <w:rPr>
      <w:rFonts w:cs="Arial"/>
      <w:b/>
      <w:bCs/>
      <w:szCs w:val="26"/>
      <w:lang w:eastAsia="ar-SA"/>
    </w:rPr>
  </w:style>
  <w:style w:type="paragraph" w:styleId="Ttulo4">
    <w:name w:val="heading 4"/>
    <w:basedOn w:val="Normal"/>
    <w:next w:val="Normal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B3B3B3"/>
      <w:tabs>
        <w:tab w:val="num" w:pos="0"/>
      </w:tabs>
      <w:suppressAutoHyphens/>
      <w:jc w:val="center"/>
      <w:outlineLvl w:val="3"/>
    </w:pPr>
    <w:rPr>
      <w:color w:val="00000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lAtv-1">
    <w:name w:val="RelAtv-1"/>
    <w:basedOn w:val="Normal"/>
    <w:qFormat/>
    <w:pPr>
      <w:numPr>
        <w:numId w:val="9"/>
      </w:numPr>
      <w:suppressAutoHyphens/>
    </w:pPr>
    <w:rPr>
      <w:b/>
      <w:sz w:val="28"/>
      <w:szCs w:val="28"/>
      <w:lang w:eastAsia="ar-SA"/>
    </w:rPr>
  </w:style>
  <w:style w:type="paragraph" w:customStyle="1" w:styleId="RelAtv-2">
    <w:name w:val="RelAtv-2"/>
    <w:basedOn w:val="Ttulo2"/>
    <w:qFormat/>
    <w:pPr>
      <w:numPr>
        <w:numId w:val="9"/>
      </w:numPr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tulo2Char">
    <w:name w:val="Título 2 Char"/>
    <w:rPr>
      <w:rFonts w:ascii="Century Gothic" w:eastAsiaTheme="majorEastAsia" w:hAnsi="Century Gothic" w:cs="Arial"/>
      <w:b/>
      <w:bCs/>
      <w:szCs w:val="24"/>
      <w:lang w:eastAsia="ar-SA"/>
    </w:rPr>
  </w:style>
  <w:style w:type="paragraph" w:customStyle="1" w:styleId="RelAtv-3">
    <w:name w:val="RelAtv-3"/>
    <w:basedOn w:val="Ttulo2"/>
    <w:qFormat/>
    <w:pPr>
      <w:numPr>
        <w:ilvl w:val="2"/>
        <w:numId w:val="9"/>
      </w:numPr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Destaque">
    <w:name w:val="Destaque"/>
    <w:rPr>
      <w:rFonts w:ascii="Century Gothic" w:hAnsi="Century Gothic" w:cs="Times New Roman"/>
      <w:color w:val="800000"/>
      <w:sz w:val="20"/>
      <w:szCs w:val="24"/>
    </w:rPr>
  </w:style>
  <w:style w:type="character" w:customStyle="1" w:styleId="Ttulo1Char">
    <w:name w:val="Título 1 Char"/>
    <w:rPr>
      <w:rFonts w:ascii="Century Gothic" w:eastAsia="Times New Roman" w:hAnsi="Century Gothic" w:cs="Times New Roman"/>
      <w:sz w:val="40"/>
      <w:szCs w:val="24"/>
      <w:lang w:eastAsia="ar-SA"/>
    </w:rPr>
  </w:style>
  <w:style w:type="character" w:customStyle="1" w:styleId="Ttulo3Char">
    <w:name w:val="Título 3 Char"/>
    <w:rPr>
      <w:rFonts w:ascii="Century Gothic" w:hAnsi="Century Gothic" w:cs="Arial"/>
      <w:b/>
      <w:bCs/>
      <w:szCs w:val="26"/>
      <w:lang w:eastAsia="ar-SA"/>
    </w:rPr>
  </w:style>
  <w:style w:type="character" w:customStyle="1" w:styleId="Ttulo4Char">
    <w:name w:val="Título 4 Char"/>
    <w:rPr>
      <w:rFonts w:ascii="Century Gothic" w:hAnsi="Century Gothic"/>
      <w:color w:val="000000"/>
      <w:szCs w:val="24"/>
      <w:shd w:val="clear" w:color="auto" w:fill="B3B3B3"/>
      <w:lang w:eastAsia="ar-SA"/>
    </w:rPr>
  </w:style>
  <w:style w:type="paragraph" w:styleId="Sumrio1">
    <w:name w:val="toc 1"/>
    <w:basedOn w:val="Normal"/>
    <w:next w:val="Normal"/>
    <w:qFormat/>
    <w:pPr>
      <w:tabs>
        <w:tab w:val="left" w:pos="480"/>
        <w:tab w:val="right" w:leader="underscore" w:pos="9060"/>
      </w:tabs>
      <w:suppressAutoHyphens/>
    </w:pPr>
    <w:rPr>
      <w:b/>
      <w:bCs/>
      <w:i/>
      <w:iCs/>
      <w:lang w:eastAsia="ar-SA"/>
    </w:rPr>
  </w:style>
  <w:style w:type="paragraph" w:styleId="Sumrio2">
    <w:name w:val="toc 2"/>
    <w:basedOn w:val="Normal"/>
    <w:next w:val="Normal"/>
    <w:qFormat/>
    <w:pPr>
      <w:suppressAutoHyphens/>
      <w:ind w:left="240"/>
    </w:pPr>
    <w:rPr>
      <w:lang w:eastAsia="ar-SA"/>
    </w:rPr>
  </w:style>
  <w:style w:type="paragraph" w:styleId="Sumrio3">
    <w:name w:val="toc 3"/>
    <w:basedOn w:val="Normal"/>
    <w:next w:val="Normal"/>
    <w:autoRedefine/>
    <w:unhideWhenUsed/>
    <w:qFormat/>
    <w:pPr>
      <w:spacing w:after="100"/>
      <w:ind w:left="440"/>
    </w:pPr>
    <w:rPr>
      <w:rFonts w:ascii="Calibri" w:hAnsi="Calibri"/>
      <w:sz w:val="22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rFonts w:ascii="Century Gothic" w:eastAsia="Times New Roman" w:hAnsi="Century Gothic" w:cs="Times New Roman"/>
      <w:sz w:val="20"/>
      <w:szCs w:val="24"/>
      <w:lang w:eastAsia="pt-BR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rFonts w:ascii="Century Gothic" w:eastAsia="Times New Roman" w:hAnsi="Century Gothic" w:cs="Times New Roman"/>
      <w:sz w:val="20"/>
      <w:szCs w:val="24"/>
      <w:lang w:eastAsia="pt-BR"/>
    </w:rPr>
  </w:style>
  <w:style w:type="paragraph" w:styleId="Legenda">
    <w:name w:val="caption"/>
    <w:basedOn w:val="Normal"/>
    <w:next w:val="Normal"/>
    <w:autoRedefine/>
    <w:qFormat/>
    <w:pPr>
      <w:spacing w:before="240" w:after="840"/>
      <w:jc w:val="right"/>
    </w:pPr>
    <w:rPr>
      <w:rFonts w:cs="Arial"/>
      <w:iCs/>
      <w:color w:val="000000"/>
    </w:rPr>
  </w:style>
  <w:style w:type="character" w:styleId="Nmerodepgina">
    <w:name w:val="page number"/>
    <w:basedOn w:val="Fontepargpadro"/>
    <w:rPr>
      <w:rFonts w:ascii="Century Gothic" w:hAnsi="Century Gothic"/>
      <w:sz w:val="16"/>
    </w:rPr>
  </w:style>
  <w:style w:type="paragraph" w:styleId="Ttulo">
    <w:name w:val="Title"/>
    <w:basedOn w:val="Normal"/>
    <w:qFormat/>
    <w:pPr>
      <w:suppressAutoHyphens/>
      <w:spacing w:before="240" w:after="240"/>
      <w:jc w:val="both"/>
    </w:pPr>
    <w:rPr>
      <w:b/>
      <w:bCs/>
      <w:sz w:val="24"/>
      <w:lang w:eastAsia="ar-SA"/>
    </w:rPr>
  </w:style>
  <w:style w:type="character" w:customStyle="1" w:styleId="TtuloChar">
    <w:name w:val="Título Char"/>
    <w:rPr>
      <w:rFonts w:ascii="Century Gothic" w:hAnsi="Century Gothic"/>
      <w:b/>
      <w:bCs/>
      <w:sz w:val="24"/>
      <w:szCs w:val="24"/>
      <w:lang w:eastAsia="ar-SA"/>
    </w:rPr>
  </w:style>
  <w:style w:type="paragraph" w:styleId="Subttulo">
    <w:name w:val="Subtitle"/>
    <w:basedOn w:val="Normal"/>
    <w:next w:val="Normal"/>
    <w:autoRedefine/>
    <w:qFormat/>
    <w:pPr>
      <w:spacing w:after="840"/>
    </w:pPr>
    <w:rPr>
      <w:noProof/>
      <w:szCs w:val="20"/>
      <w:lang w:eastAsia="en-US"/>
    </w:rPr>
  </w:style>
  <w:style w:type="character" w:customStyle="1" w:styleId="SubttuloChar">
    <w:name w:val="Subtítulo Char"/>
    <w:basedOn w:val="Fontepargpadro"/>
    <w:rPr>
      <w:rFonts w:ascii="Century Gothic" w:hAnsi="Century Gothic"/>
      <w:noProof/>
    </w:rPr>
  </w:style>
  <w:style w:type="paragraph" w:styleId="Corpodetexto">
    <w:name w:val="Body Text"/>
    <w:basedOn w:val="Normal"/>
    <w:link w:val="CorpodetextoChar"/>
    <w:unhideWhenUsed/>
    <w:pPr>
      <w:suppressAutoHyphens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rPr>
      <w:rFonts w:ascii="Century Gothic" w:eastAsia="Times New Roman" w:hAnsi="Century Gothic" w:cs="Times New Roman"/>
      <w:sz w:val="20"/>
      <w:szCs w:val="24"/>
      <w:lang w:eastAsia="ar-SA"/>
    </w:rPr>
  </w:style>
  <w:style w:type="character" w:styleId="Forte">
    <w:name w:val="Strong"/>
    <w:qFormat/>
    <w:rPr>
      <w:rFonts w:ascii="Century Gothic" w:hAnsi="Century Gothic" w:cs="Times New Roman"/>
      <w:b/>
      <w:bCs/>
      <w:sz w:val="20"/>
    </w:rPr>
  </w:style>
  <w:style w:type="character" w:styleId="nfase">
    <w:name w:val="Emphasis"/>
    <w:qFormat/>
    <w:rPr>
      <w:rFonts w:ascii="Century Gothic" w:hAnsi="Century Gothic"/>
      <w:i/>
      <w:iCs/>
      <w:sz w:val="20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semiHidden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basedOn w:val="Normal"/>
    <w:qFormat/>
    <w:pPr>
      <w:suppressAutoHyphens/>
    </w:pPr>
    <w:rPr>
      <w:sz w:val="24"/>
      <w:lang w:eastAsia="ar-SA"/>
    </w:rPr>
  </w:style>
  <w:style w:type="paragraph" w:styleId="PargrafodaLista">
    <w:name w:val="List Paragraph"/>
    <w:basedOn w:val="Normal"/>
    <w:qFormat/>
    <w:pPr>
      <w:contextualSpacing/>
    </w:pPr>
    <w:rPr>
      <w:szCs w:val="20"/>
    </w:rPr>
  </w:style>
  <w:style w:type="paragraph" w:styleId="CabealhodoSumrio">
    <w:name w:val="TOC Heading"/>
    <w:basedOn w:val="Ttulo1"/>
    <w:next w:val="Normal"/>
    <w:semiHidden/>
    <w:unhideWhenUsed/>
    <w:qFormat/>
    <w:pPr>
      <w:keepLines/>
      <w:numPr>
        <w:numId w:val="0"/>
      </w:numPr>
      <w:suppressAutoHyphens w:val="0"/>
      <w:spacing w:before="480"/>
      <w:jc w:val="left"/>
    </w:pPr>
    <w:rPr>
      <w:rFonts w:ascii="Cambria" w:hAnsi="Cambria"/>
      <w:b/>
      <w:bCs/>
      <w:color w:val="365F91"/>
      <w:sz w:val="28"/>
      <w:szCs w:val="28"/>
      <w:lang w:eastAsia="pt-BR"/>
    </w:rPr>
  </w:style>
  <w:style w:type="paragraph" w:customStyle="1" w:styleId="Numerao1">
    <w:name w:val="Numeração 1"/>
    <w:basedOn w:val="Normal"/>
    <w:qFormat/>
    <w:pPr>
      <w:numPr>
        <w:numId w:val="11"/>
      </w:numPr>
      <w:tabs>
        <w:tab w:val="left" w:pos="1418"/>
        <w:tab w:val="left" w:pos="1985"/>
      </w:tabs>
      <w:spacing w:before="240" w:after="240"/>
    </w:pPr>
  </w:style>
  <w:style w:type="paragraph" w:customStyle="1" w:styleId="Geral1">
    <w:name w:val="Geral1"/>
    <w:basedOn w:val="Normal"/>
    <w:link w:val="Geral1Char"/>
    <w:autoRedefine/>
    <w:pPr>
      <w:numPr>
        <w:numId w:val="5"/>
      </w:numPr>
      <w:tabs>
        <w:tab w:val="left" w:pos="1418"/>
      </w:tabs>
      <w:spacing w:before="120" w:after="120"/>
      <w:ind w:left="0" w:firstLine="0"/>
      <w:jc w:val="both"/>
    </w:pPr>
  </w:style>
  <w:style w:type="character" w:customStyle="1" w:styleId="Geral1Char">
    <w:name w:val="Geral1 Char"/>
    <w:basedOn w:val="Fontepargpadro"/>
    <w:link w:val="Geral1"/>
    <w:rPr>
      <w:rFonts w:ascii="Century Gothic" w:hAnsi="Century Gothic"/>
      <w:szCs w:val="24"/>
      <w:lang w:eastAsia="pt-BR"/>
    </w:rPr>
  </w:style>
  <w:style w:type="paragraph" w:customStyle="1" w:styleId="Cabealho1">
    <w:name w:val="Cabeçalho1"/>
    <w:basedOn w:val="Normal"/>
    <w:autoRedefine/>
    <w:qFormat/>
    <w:pPr>
      <w:spacing w:after="840"/>
      <w:contextualSpacing/>
      <w:jc w:val="both"/>
    </w:pPr>
    <w:rPr>
      <w:szCs w:val="20"/>
    </w:rPr>
  </w:style>
  <w:style w:type="character" w:customStyle="1" w:styleId="Cabealho1Char">
    <w:name w:val="Cabeçalho1 Char"/>
    <w:basedOn w:val="Fontepargpadro"/>
    <w:rPr>
      <w:rFonts w:ascii="Century Gothic" w:hAnsi="Century Gothic"/>
      <w:lang w:eastAsia="pt-BR"/>
    </w:rPr>
  </w:style>
  <w:style w:type="paragraph" w:customStyle="1" w:styleId="Paragrfo1">
    <w:name w:val="Paragráfo 1"/>
    <w:basedOn w:val="Normal"/>
    <w:autoRedefine/>
    <w:qFormat/>
    <w:pPr>
      <w:numPr>
        <w:numId w:val="8"/>
      </w:numPr>
      <w:tabs>
        <w:tab w:val="left" w:pos="1418"/>
      </w:tabs>
      <w:spacing w:before="120"/>
      <w:jc w:val="both"/>
    </w:pPr>
    <w:rPr>
      <w:szCs w:val="20"/>
      <w:lang w:eastAsia="en-US"/>
    </w:rPr>
  </w:style>
  <w:style w:type="character" w:customStyle="1" w:styleId="Paragrfo1Char">
    <w:name w:val="Paragráfo 1 Char"/>
    <w:basedOn w:val="RecuodecorpodetextoChar"/>
    <w:rPr>
      <w:rFonts w:ascii="Century Gothic" w:hAnsi="Century Gothic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Pr>
      <w:rFonts w:ascii="Century Gothic" w:hAnsi="Century Gothic"/>
      <w:szCs w:val="24"/>
      <w:lang w:eastAsia="pt-BR"/>
    </w:rPr>
  </w:style>
  <w:style w:type="character" w:styleId="RefernciaIntensa">
    <w:name w:val="Intense Reference"/>
    <w:basedOn w:val="Fontepargpadro"/>
    <w:qFormat/>
    <w:rPr>
      <w:rFonts w:ascii="Century Gothic" w:hAnsi="Century Gothic"/>
      <w:b/>
      <w:bCs/>
      <w:i w:val="0"/>
      <w:caps w:val="0"/>
      <w:smallCaps/>
      <w:color w:val="000000"/>
      <w:spacing w:val="5"/>
      <w:sz w:val="20"/>
    </w:rPr>
  </w:style>
  <w:style w:type="paragraph" w:styleId="CitaoIntensa">
    <w:name w:val="Intense Quote"/>
    <w:basedOn w:val="Normal"/>
    <w:next w:val="Normal"/>
    <w:qFormat/>
    <w:pPr>
      <w:pBdr>
        <w:top w:val="single" w:sz="4" w:space="10" w:color="5B9BD5"/>
        <w:bottom w:val="single" w:sz="4" w:space="10" w:color="5B9BD5"/>
      </w:pBdr>
      <w:spacing w:before="240" w:after="240"/>
      <w:ind w:left="3402"/>
      <w:jc w:val="both"/>
    </w:pPr>
    <w:rPr>
      <w:i/>
      <w:iCs/>
      <w:sz w:val="16"/>
    </w:rPr>
  </w:style>
  <w:style w:type="character" w:customStyle="1" w:styleId="CitaoIntensaChar">
    <w:name w:val="Citação Intensa Char"/>
    <w:basedOn w:val="Fontepargpadro"/>
    <w:rPr>
      <w:rFonts w:ascii="Century Gothic" w:hAnsi="Century Gothic"/>
      <w:i/>
      <w:iCs/>
      <w:sz w:val="16"/>
      <w:szCs w:val="24"/>
      <w:lang w:eastAsia="pt-BR"/>
    </w:rPr>
  </w:style>
  <w:style w:type="paragraph" w:styleId="Citao">
    <w:name w:val="Quote"/>
    <w:basedOn w:val="Normal"/>
    <w:next w:val="Normal"/>
    <w:qFormat/>
    <w:pPr>
      <w:spacing w:before="240" w:after="240"/>
      <w:ind w:left="3402"/>
      <w:jc w:val="both"/>
    </w:pPr>
    <w:rPr>
      <w:i/>
      <w:iCs/>
      <w:color w:val="404040" w:themeColor="text1" w:themeTint="BF"/>
      <w:sz w:val="16"/>
    </w:rPr>
  </w:style>
  <w:style w:type="character" w:customStyle="1" w:styleId="CitaoChar">
    <w:name w:val="Citação Char"/>
    <w:basedOn w:val="Fontepargpadro"/>
    <w:rPr>
      <w:rFonts w:ascii="Century Gothic" w:hAnsi="Century Gothic"/>
      <w:i/>
      <w:iCs/>
      <w:color w:val="404040" w:themeColor="text1" w:themeTint="BF"/>
      <w:sz w:val="16"/>
      <w:szCs w:val="24"/>
      <w:lang w:eastAsia="pt-BR"/>
    </w:rPr>
  </w:style>
  <w:style w:type="paragraph" w:customStyle="1" w:styleId="seta">
    <w:name w:val="seta"/>
    <w:basedOn w:val="Normal"/>
    <w:pPr>
      <w:tabs>
        <w:tab w:val="left" w:pos="360"/>
      </w:tabs>
      <w:spacing w:after="120"/>
      <w:ind w:left="360" w:hanging="360"/>
      <w:jc w:val="both"/>
    </w:pPr>
  </w:style>
  <w:style w:type="paragraph" w:customStyle="1" w:styleId="Fecho">
    <w:name w:val="Fecho"/>
    <w:basedOn w:val="Normal"/>
    <w:next w:val="Assinaturas"/>
    <w:link w:val="FechoChar"/>
    <w:autoRedefine/>
    <w:qFormat/>
    <w:rsid w:val="00B40F0B"/>
    <w:pPr>
      <w:spacing w:before="120" w:after="120"/>
      <w:ind w:firstLine="1418"/>
      <w:jc w:val="both"/>
    </w:pPr>
  </w:style>
  <w:style w:type="paragraph" w:customStyle="1" w:styleId="Assinaturas">
    <w:name w:val="Assinaturas"/>
    <w:basedOn w:val="Normal"/>
    <w:link w:val="AssinaturasChar"/>
    <w:autoRedefine/>
    <w:qFormat/>
    <w:rsid w:val="00B40F0B"/>
    <w:pPr>
      <w:jc w:val="center"/>
    </w:pPr>
  </w:style>
  <w:style w:type="character" w:customStyle="1" w:styleId="FechoChar">
    <w:name w:val="Fecho Char"/>
    <w:basedOn w:val="Fontepargpadro"/>
    <w:link w:val="Fecho"/>
    <w:rsid w:val="00B40F0B"/>
    <w:rPr>
      <w:rFonts w:ascii="Century Gothic" w:hAnsi="Century Gothic"/>
      <w:szCs w:val="24"/>
      <w:lang w:eastAsia="pt-BR"/>
    </w:rPr>
  </w:style>
  <w:style w:type="character" w:customStyle="1" w:styleId="AssinaturasChar">
    <w:name w:val="Assinaturas Char"/>
    <w:basedOn w:val="Fontepargpadro"/>
    <w:link w:val="Assinaturas"/>
    <w:rsid w:val="00B40F0B"/>
    <w:rPr>
      <w:rFonts w:ascii="Century Gothic" w:hAnsi="Century Gothic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23AFD"/>
    <w:pPr>
      <w:spacing w:after="120" w:line="480" w:lineRule="auto"/>
      <w:ind w:left="283"/>
    </w:pPr>
    <w:rPr>
      <w:rFonts w:eastAsia="Century Gothic" w:cs="Century Gothic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23AFD"/>
    <w:rPr>
      <w:rFonts w:ascii="Century Gothic" w:eastAsia="Century Gothic" w:hAnsi="Century Gothic" w:cs="Century Gothic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23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5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F8961F6361794295BF5DFFF963FBA1" ma:contentTypeVersion="0" ma:contentTypeDescription="Crie um novo documento." ma:contentTypeScope="" ma:versionID="000692cef8fa36f400cdcb688300b7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e6c6ff1d6681a1aea848abd1ab7794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3BBAB-5B9B-4C74-BE74-EBD8DF1CF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0A29EA-1C6C-4A12-B309-D6135D7F110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4284C9B-D70D-40D8-97B2-F1C72FBE8C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Agência Nacional de Águas</Company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Raimunda Raquel Araújo de Oliveira</dc:creator>
  <cp:keywords/>
  <dc:description/>
  <cp:lastModifiedBy>Brandina de Amorim</cp:lastModifiedBy>
  <cp:revision>2</cp:revision>
  <dcterms:created xsi:type="dcterms:W3CDTF">2018-06-13T20:12:00Z</dcterms:created>
  <dcterms:modified xsi:type="dcterms:W3CDTF">2018-06-13T20:12:00Z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0x01010041F8961F6361794295BF5DFFF963FBA1</vt:lpwstr>
  </property>
</Properties>
</file>