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AE15" w14:textId="77777777" w:rsidR="005C17C1" w:rsidRPr="00254313" w:rsidRDefault="005C17C1" w:rsidP="005C17C1">
      <w:pPr>
        <w:tabs>
          <w:tab w:val="left" w:pos="1440"/>
          <w:tab w:val="left" w:pos="1620"/>
          <w:tab w:val="left" w:pos="7560"/>
        </w:tabs>
        <w:spacing w:after="0" w:line="240" w:lineRule="auto"/>
        <w:ind w:right="40"/>
        <w:rPr>
          <w:rFonts w:ascii="Century Gothic" w:hAnsi="Century Gothic" w:cs="Times New Roman"/>
          <w:color w:val="FF0000"/>
          <w:sz w:val="20"/>
          <w:szCs w:val="20"/>
        </w:rPr>
      </w:pPr>
      <w:r w:rsidRPr="00254313">
        <w:rPr>
          <w:rFonts w:ascii="Century Gothic" w:hAnsi="Century Gothic" w:cs="Times New Roman"/>
          <w:color w:val="FF0000"/>
          <w:sz w:val="20"/>
          <w:szCs w:val="20"/>
        </w:rPr>
        <w:t>LOGO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DO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ESTADO</w:t>
      </w:r>
    </w:p>
    <w:p w14:paraId="5A28238F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50E91B8F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19D32B65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5534917D" w14:textId="776F9081"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Ofício nº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F34CF5">
        <w:rPr>
          <w:rFonts w:ascii="Century Gothic" w:hAnsi="Century Gothic" w:cs="Times New Roman"/>
          <w:sz w:val="20"/>
          <w:szCs w:val="20"/>
        </w:rPr>
        <w:t>/20</w:t>
      </w:r>
      <w:r w:rsidR="00AF3BB7">
        <w:rPr>
          <w:rFonts w:ascii="Century Gothic" w:hAnsi="Century Gothic" w:cs="Times New Roman"/>
          <w:sz w:val="20"/>
          <w:szCs w:val="20"/>
        </w:rPr>
        <w:t>20</w:t>
      </w:r>
      <w:r w:rsidRPr="00254313">
        <w:rPr>
          <w:rFonts w:ascii="Century Gothic" w:hAnsi="Century Gothic" w:cs="Times New Roman"/>
          <w:sz w:val="20"/>
          <w:szCs w:val="20"/>
        </w:rPr>
        <w:t xml:space="preserve"> </w:t>
      </w:r>
    </w:p>
    <w:p w14:paraId="5CBE5368" w14:textId="77777777" w:rsidR="00FB3CDE" w:rsidRDefault="00FB3CDE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</w:p>
    <w:p w14:paraId="0C92A54F" w14:textId="181B0324"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,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 20</w:t>
      </w:r>
      <w:r w:rsidR="00AF3BB7">
        <w:rPr>
          <w:rFonts w:ascii="Century Gothic" w:hAnsi="Century Gothic" w:cs="Times New Roman"/>
          <w:sz w:val="20"/>
          <w:szCs w:val="20"/>
        </w:rPr>
        <w:t>20</w:t>
      </w:r>
      <w:r w:rsidRPr="00254313">
        <w:rPr>
          <w:rFonts w:ascii="Century Gothic" w:hAnsi="Century Gothic" w:cs="Times New Roman"/>
          <w:sz w:val="20"/>
          <w:szCs w:val="20"/>
        </w:rPr>
        <w:t>.</w:t>
      </w:r>
    </w:p>
    <w:p w14:paraId="70DC8A15" w14:textId="77777777" w:rsidR="00765628" w:rsidRPr="00254313" w:rsidRDefault="00765628" w:rsidP="00765628">
      <w:pPr>
        <w:tabs>
          <w:tab w:val="left" w:pos="1134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57AA4548" w14:textId="77777777" w:rsidR="00765628" w:rsidRDefault="00765628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3A30CC86" w14:textId="77777777" w:rsidR="005C17C1" w:rsidRPr="00254313" w:rsidRDefault="005C17C1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7D2303B2" w14:textId="77777777" w:rsidR="00254313" w:rsidRDefault="00254313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Sua Senhoria o Senhor</w:t>
      </w:r>
    </w:p>
    <w:p w14:paraId="4351CDC2" w14:textId="77777777" w:rsidR="00765628" w:rsidRPr="00254313" w:rsidRDefault="00077151" w:rsidP="00765628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eastAsia="Century Gothic" w:hAnsi="Century Gothic" w:cs="Century Gothic"/>
          <w:b/>
          <w:sz w:val="20"/>
        </w:rPr>
        <w:t>Humberto Cardoso Gonçalves</w:t>
      </w:r>
    </w:p>
    <w:p w14:paraId="344F5C53" w14:textId="77777777" w:rsidR="00254313" w:rsidRDefault="00765628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Superintendente de Apoio </w:t>
      </w:r>
      <w:r w:rsidR="00254313">
        <w:rPr>
          <w:rFonts w:ascii="Century Gothic" w:eastAsia="Century Gothic" w:hAnsi="Century Gothic" w:cs="Century Gothic"/>
          <w:color w:val="000000"/>
          <w:sz w:val="20"/>
          <w:szCs w:val="20"/>
        </w:rPr>
        <w:t>ao</w:t>
      </w:r>
      <w:r w:rsidR="0025431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54313">
        <w:rPr>
          <w:rFonts w:ascii="Century Gothic" w:eastAsia="Century Gothic" w:hAnsi="Century Gothic" w:cs="Century Gothic"/>
          <w:sz w:val="20"/>
        </w:rPr>
        <w:t>Sistema Nacional de Gerenciamento de Recursos Hídricos (</w:t>
      </w:r>
      <w:r w:rsidR="00BC7EE2">
        <w:rPr>
          <w:rFonts w:ascii="Century Gothic" w:eastAsia="Century Gothic" w:hAnsi="Century Gothic" w:cs="Century Gothic"/>
          <w:sz w:val="20"/>
        </w:rPr>
        <w:t>SAS</w:t>
      </w:r>
      <w:r w:rsidR="00254313">
        <w:rPr>
          <w:rFonts w:ascii="Century Gothic" w:eastAsia="Century Gothic" w:hAnsi="Century Gothic" w:cs="Century Gothic"/>
          <w:sz w:val="20"/>
        </w:rPr>
        <w:t>)</w:t>
      </w:r>
    </w:p>
    <w:p w14:paraId="6395B59D" w14:textId="77777777" w:rsidR="00765628" w:rsidRPr="00254313" w:rsidRDefault="00765628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Setor Policial Área 5 Quadra 3 Bloco L sala </w:t>
      </w:r>
      <w:r w:rsidR="005C17C1">
        <w:rPr>
          <w:rFonts w:ascii="Century Gothic" w:eastAsia="Gulim" w:hAnsi="Century Gothic" w:cs="Times New Roman"/>
          <w:bCs/>
          <w:noProof/>
          <w:sz w:val="20"/>
          <w:szCs w:val="20"/>
        </w:rPr>
        <w:t>100</w:t>
      </w:r>
    </w:p>
    <w:p w14:paraId="01654399" w14:textId="77777777" w:rsidR="00765628" w:rsidRPr="00254313" w:rsidRDefault="00077151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>CEP 70.610-200</w:t>
      </w:r>
      <w:r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 - </w:t>
      </w:r>
      <w:r w:rsidR="00765628"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Brasília - DF  </w:t>
      </w:r>
    </w:p>
    <w:p w14:paraId="24DEE5DA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624A88D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762EBB9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48F9E6C5" w14:textId="391BBD34" w:rsidR="00765628" w:rsidRPr="00254313" w:rsidRDefault="00765628" w:rsidP="00765628">
      <w:pPr>
        <w:pStyle w:val="Rodap"/>
        <w:tabs>
          <w:tab w:val="clear" w:pos="4320"/>
          <w:tab w:val="clear" w:pos="8640"/>
        </w:tabs>
        <w:spacing w:after="720"/>
        <w:ind w:left="992" w:hanging="992"/>
        <w:jc w:val="both"/>
        <w:rPr>
          <w:rFonts w:ascii="Century Gothic" w:hAnsi="Century Gothic"/>
          <w:b/>
          <w:bCs/>
          <w:sz w:val="20"/>
          <w:szCs w:val="20"/>
        </w:rPr>
      </w:pPr>
      <w:r w:rsidRPr="00254313">
        <w:rPr>
          <w:rFonts w:ascii="Century Gothic" w:hAnsi="Century Gothic"/>
          <w:sz w:val="20"/>
          <w:szCs w:val="20"/>
        </w:rPr>
        <w:t>Assunto:</w:t>
      </w:r>
      <w:r w:rsidRPr="00254313">
        <w:rPr>
          <w:rFonts w:ascii="Century Gothic" w:hAnsi="Century Gothic"/>
          <w:sz w:val="20"/>
          <w:szCs w:val="20"/>
        </w:rPr>
        <w:tab/>
      </w:r>
      <w:r w:rsidRPr="00254313">
        <w:rPr>
          <w:rFonts w:ascii="Century Gothic" w:hAnsi="Century Gothic"/>
          <w:b/>
          <w:sz w:val="20"/>
          <w:szCs w:val="20"/>
        </w:rPr>
        <w:t>Envio do Relatório Progestão 201</w:t>
      </w:r>
      <w:r w:rsidR="00AF3BB7">
        <w:rPr>
          <w:rFonts w:ascii="Century Gothic" w:hAnsi="Century Gothic"/>
          <w:b/>
          <w:sz w:val="20"/>
          <w:szCs w:val="20"/>
        </w:rPr>
        <w:t>9</w:t>
      </w:r>
      <w:r w:rsidR="00E233D6">
        <w:rPr>
          <w:rFonts w:ascii="Century Gothic" w:hAnsi="Century Gothic"/>
          <w:b/>
          <w:sz w:val="20"/>
          <w:szCs w:val="20"/>
        </w:rPr>
        <w:t>,</w:t>
      </w:r>
      <w:r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E233D6">
        <w:rPr>
          <w:rFonts w:ascii="Century Gothic" w:hAnsi="Century Gothic"/>
          <w:b/>
          <w:sz w:val="20"/>
          <w:szCs w:val="20"/>
        </w:rPr>
        <w:t>referente ao atendiment</w:t>
      </w:r>
      <w:r w:rsidR="00EA2EE9" w:rsidRPr="00254313">
        <w:rPr>
          <w:rFonts w:ascii="Century Gothic" w:hAnsi="Century Gothic"/>
          <w:b/>
          <w:sz w:val="20"/>
          <w:szCs w:val="20"/>
        </w:rPr>
        <w:t>o</w:t>
      </w:r>
      <w:r w:rsidR="00A31420">
        <w:rPr>
          <w:rFonts w:ascii="Century Gothic" w:hAnsi="Century Gothic"/>
          <w:b/>
          <w:sz w:val="20"/>
          <w:szCs w:val="20"/>
        </w:rPr>
        <w:t xml:space="preserve"> das metas de cooperação federativa estabelecidas para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A21563">
        <w:rPr>
          <w:rFonts w:ascii="Century Gothic" w:hAnsi="Century Gothic"/>
          <w:b/>
          <w:sz w:val="20"/>
          <w:szCs w:val="20"/>
        </w:rPr>
        <w:t>o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estado</w:t>
      </w:r>
      <w:r w:rsidR="00A21563">
        <w:rPr>
          <w:rFonts w:ascii="Century Gothic" w:hAnsi="Century Gothic"/>
          <w:b/>
          <w:sz w:val="20"/>
          <w:szCs w:val="20"/>
        </w:rPr>
        <w:t xml:space="preserve"> </w:t>
      </w:r>
      <w:r w:rsidR="00A31420">
        <w:rPr>
          <w:rFonts w:ascii="Century Gothic" w:hAnsi="Century Gothic"/>
          <w:b/>
          <w:sz w:val="20"/>
          <w:szCs w:val="20"/>
        </w:rPr>
        <w:t>n</w:t>
      </w:r>
      <w:r w:rsidR="00A21563">
        <w:rPr>
          <w:rFonts w:ascii="Century Gothic" w:hAnsi="Century Gothic"/>
          <w:b/>
          <w:sz w:val="20"/>
          <w:szCs w:val="20"/>
        </w:rPr>
        <w:t>o ano de 201</w:t>
      </w:r>
      <w:r w:rsidR="00AF3BB7">
        <w:rPr>
          <w:rFonts w:ascii="Century Gothic" w:hAnsi="Century Gothic"/>
          <w:b/>
          <w:sz w:val="20"/>
          <w:szCs w:val="20"/>
        </w:rPr>
        <w:t>9</w:t>
      </w:r>
      <w:r w:rsidR="004C3D11">
        <w:rPr>
          <w:rFonts w:ascii="Century Gothic" w:hAnsi="Century Gothic"/>
          <w:b/>
          <w:sz w:val="20"/>
          <w:szCs w:val="20"/>
        </w:rPr>
        <w:t xml:space="preserve">, devidamente acompanhado de </w:t>
      </w:r>
      <w:r w:rsidR="004C3D11" w:rsidRPr="00003298">
        <w:rPr>
          <w:rFonts w:ascii="Century Gothic" w:hAnsi="Century Gothic"/>
          <w:b/>
          <w:sz w:val="20"/>
          <w:szCs w:val="20"/>
        </w:rPr>
        <w:t>informaç</w:t>
      </w:r>
      <w:r w:rsidR="004C3D11">
        <w:rPr>
          <w:rFonts w:ascii="Century Gothic" w:hAnsi="Century Gothic"/>
          <w:b/>
          <w:sz w:val="20"/>
          <w:szCs w:val="20"/>
        </w:rPr>
        <w:t>ões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sobre a aplicação dos recursos do Programa</w:t>
      </w:r>
      <w:r w:rsidR="004C3D11">
        <w:rPr>
          <w:rFonts w:ascii="Century Gothic" w:hAnsi="Century Gothic"/>
          <w:b/>
          <w:sz w:val="20"/>
          <w:szCs w:val="20"/>
        </w:rPr>
        <w:t xml:space="preserve"> no estado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até dezembro </w:t>
      </w:r>
      <w:r w:rsidR="004C3D11">
        <w:rPr>
          <w:rFonts w:ascii="Century Gothic" w:hAnsi="Century Gothic"/>
          <w:b/>
          <w:sz w:val="20"/>
          <w:szCs w:val="20"/>
        </w:rPr>
        <w:t>de 201</w:t>
      </w:r>
      <w:r w:rsidR="00AF3BB7">
        <w:rPr>
          <w:rFonts w:ascii="Century Gothic" w:hAnsi="Century Gothic"/>
          <w:b/>
          <w:sz w:val="20"/>
          <w:szCs w:val="20"/>
        </w:rPr>
        <w:t>9</w:t>
      </w:r>
      <w:r w:rsidRPr="00254313">
        <w:rPr>
          <w:rFonts w:ascii="Century Gothic" w:hAnsi="Century Gothic"/>
          <w:b/>
          <w:sz w:val="20"/>
          <w:szCs w:val="20"/>
        </w:rPr>
        <w:t xml:space="preserve">. </w:t>
      </w:r>
    </w:p>
    <w:p w14:paraId="3616EB7F" w14:textId="77777777" w:rsidR="00765628" w:rsidRPr="00254313" w:rsidRDefault="00765628" w:rsidP="00765628">
      <w:pPr>
        <w:tabs>
          <w:tab w:val="left" w:pos="1440"/>
        </w:tabs>
        <w:spacing w:after="0" w:line="240" w:lineRule="auto"/>
        <w:ind w:firstLine="993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Senhor Superintendente, </w:t>
      </w:r>
    </w:p>
    <w:p w14:paraId="285533B7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7ADBF61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F93EC85" w14:textId="6ABA7804" w:rsidR="00765628" w:rsidRPr="00254313" w:rsidRDefault="00AF3BB7" w:rsidP="00AF3BB7">
      <w:pPr>
        <w:pStyle w:val="Corpodetexto2"/>
        <w:tabs>
          <w:tab w:val="left" w:pos="993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Em atendimento 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ao Contrato nº </w:t>
      </w:r>
      <w:proofErr w:type="spellStart"/>
      <w:r w:rsidR="00894172"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894172" w:rsidRPr="00254313">
        <w:rPr>
          <w:rFonts w:ascii="Century Gothic" w:hAnsi="Century Gothic" w:cs="Times New Roman"/>
          <w:sz w:val="20"/>
          <w:szCs w:val="20"/>
        </w:rPr>
        <w:t>/ANA/201</w:t>
      </w:r>
      <w:r w:rsidR="00F34CF5" w:rsidRPr="00F34CF5">
        <w:rPr>
          <w:rFonts w:ascii="Century Gothic" w:hAnsi="Century Gothic" w:cs="Times New Roman"/>
          <w:color w:val="FF0000"/>
          <w:sz w:val="20"/>
          <w:szCs w:val="20"/>
        </w:rPr>
        <w:t>X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 e à Resolução ANA nº 1485/2013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venho encaminhar o </w:t>
      </w:r>
      <w:r w:rsidR="00765628" w:rsidRPr="00AC3D1E">
        <w:rPr>
          <w:rFonts w:ascii="Century Gothic" w:hAnsi="Century Gothic" w:cs="Times New Roman"/>
          <w:b/>
          <w:sz w:val="20"/>
          <w:szCs w:val="20"/>
        </w:rPr>
        <w:t>Relatório Progestão 201</w:t>
      </w:r>
      <w:r w:rsidR="00A057F5">
        <w:rPr>
          <w:rFonts w:ascii="Century Gothic" w:hAnsi="Century Gothic" w:cs="Times New Roman"/>
          <w:b/>
          <w:sz w:val="20"/>
          <w:szCs w:val="20"/>
        </w:rPr>
        <w:t>9</w:t>
      </w:r>
      <w:r w:rsidR="00A057F5">
        <w:rPr>
          <w:rFonts w:ascii="Century Gothic" w:hAnsi="Century Gothic" w:cs="Times New Roman"/>
          <w:bCs/>
          <w:sz w:val="20"/>
          <w:szCs w:val="20"/>
        </w:rPr>
        <w:t xml:space="preserve">, </w:t>
      </w:r>
      <w:r w:rsidR="00A057F5" w:rsidRPr="00A057F5">
        <w:rPr>
          <w:rFonts w:ascii="Century Gothic" w:hAnsi="Century Gothic"/>
          <w:bCs/>
          <w:sz w:val="20"/>
          <w:szCs w:val="20"/>
        </w:rPr>
        <w:t xml:space="preserve">devidamente acompanhado de informações sobre a aplicação dos recursos do </w:t>
      </w:r>
      <w:r w:rsidR="00A057F5">
        <w:rPr>
          <w:rFonts w:ascii="Century Gothic" w:hAnsi="Century Gothic"/>
          <w:bCs/>
          <w:sz w:val="20"/>
          <w:szCs w:val="20"/>
        </w:rPr>
        <w:t>p</w:t>
      </w:r>
      <w:r w:rsidR="00A057F5" w:rsidRPr="00A057F5">
        <w:rPr>
          <w:rFonts w:ascii="Century Gothic" w:hAnsi="Century Gothic"/>
          <w:bCs/>
          <w:sz w:val="20"/>
          <w:szCs w:val="20"/>
        </w:rPr>
        <w:t>rograma no estado até dezembro de 2019</w:t>
      </w:r>
      <w:r w:rsidR="00765628" w:rsidRPr="00A057F5">
        <w:rPr>
          <w:rFonts w:ascii="Century Gothic" w:hAnsi="Century Gothic" w:cs="Times New Roman"/>
          <w:bCs/>
          <w:sz w:val="20"/>
          <w:szCs w:val="20"/>
        </w:rPr>
        <w:t>, para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fins de verificação do </w:t>
      </w:r>
      <w:r w:rsidR="003D3F40">
        <w:rPr>
          <w:rFonts w:ascii="Century Gothic" w:hAnsi="Century Gothic" w:cs="Times New Roman"/>
          <w:sz w:val="20"/>
          <w:szCs w:val="20"/>
        </w:rPr>
        <w:t>atend</w:t>
      </w:r>
      <w:r w:rsidR="00765628" w:rsidRPr="00254313">
        <w:rPr>
          <w:rFonts w:ascii="Century Gothic" w:hAnsi="Century Gothic" w:cs="Times New Roman"/>
          <w:sz w:val="20"/>
          <w:szCs w:val="20"/>
        </w:rPr>
        <w:t>imento das metas de cooperação federativa</w:t>
      </w:r>
      <w:r w:rsidR="00AC3D1E">
        <w:rPr>
          <w:rFonts w:ascii="Century Gothic" w:hAnsi="Century Gothic" w:cs="Times New Roman"/>
          <w:sz w:val="20"/>
          <w:szCs w:val="20"/>
        </w:rPr>
        <w:t xml:space="preserve"> </w:t>
      </w:r>
      <w:r w:rsidR="00AC3D1E" w:rsidRPr="00254313">
        <w:rPr>
          <w:rFonts w:ascii="Century Gothic" w:hAnsi="Century Gothic" w:cs="Times New Roman"/>
          <w:sz w:val="20"/>
          <w:szCs w:val="20"/>
        </w:rPr>
        <w:t>estabelecidas no anexo do contrato supracitado</w:t>
      </w:r>
      <w:r w:rsidR="00AC3D1E">
        <w:rPr>
          <w:rFonts w:ascii="Century Gothic" w:hAnsi="Century Gothic" w:cs="Times New Roman"/>
          <w:sz w:val="20"/>
          <w:szCs w:val="20"/>
        </w:rPr>
        <w:t xml:space="preserve"> e detalhadas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</w:t>
      </w:r>
      <w:r w:rsidR="008D20DB">
        <w:rPr>
          <w:rFonts w:ascii="Century Gothic" w:hAnsi="Century Gothic" w:cs="Times New Roman"/>
          <w:sz w:val="20"/>
          <w:szCs w:val="20"/>
        </w:rPr>
        <w:t>nos</w:t>
      </w:r>
      <w:r w:rsidR="00AC3D1E">
        <w:rPr>
          <w:rFonts w:ascii="Century Gothic" w:hAnsi="Century Gothic" w:cs="Times New Roman"/>
          <w:sz w:val="20"/>
          <w:szCs w:val="20"/>
        </w:rPr>
        <w:t xml:space="preserve"> Informe</w:t>
      </w:r>
      <w:r w:rsidR="008D20DB">
        <w:rPr>
          <w:rFonts w:ascii="Century Gothic" w:hAnsi="Century Gothic" w:cs="Times New Roman"/>
          <w:sz w:val="20"/>
          <w:szCs w:val="20"/>
        </w:rPr>
        <w:t>s</w:t>
      </w:r>
      <w:r w:rsidR="00AC3D1E">
        <w:rPr>
          <w:rFonts w:ascii="Century Gothic" w:hAnsi="Century Gothic" w:cs="Times New Roman"/>
          <w:sz w:val="20"/>
          <w:szCs w:val="20"/>
        </w:rPr>
        <w:t xml:space="preserve"> Progestão </w:t>
      </w:r>
      <w:r w:rsidR="004D6AAD">
        <w:rPr>
          <w:rFonts w:ascii="Century Gothic" w:hAnsi="Century Gothic" w:cs="Times New Roman"/>
          <w:sz w:val="20"/>
          <w:szCs w:val="20"/>
        </w:rPr>
        <w:t>enviados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. </w:t>
      </w:r>
    </w:p>
    <w:p w14:paraId="38E55C98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21E087D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5387202" w14:textId="77777777" w:rsidR="00765628" w:rsidRPr="00254313" w:rsidRDefault="00765628" w:rsidP="00765628">
      <w:pPr>
        <w:pStyle w:val="Corpodetexto2"/>
        <w:tabs>
          <w:tab w:val="left" w:pos="993"/>
        </w:tabs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BR"/>
        </w:rPr>
      </w:pPr>
      <w:r w:rsidRPr="00254313">
        <w:rPr>
          <w:rFonts w:ascii="Century Gothic" w:eastAsia="Times New Roman" w:hAnsi="Century Gothic" w:cs="Times New Roman"/>
          <w:sz w:val="20"/>
          <w:szCs w:val="20"/>
          <w:lang w:eastAsia="pt-BR"/>
        </w:rPr>
        <w:tab/>
        <w:t>Atenciosamente,</w:t>
      </w:r>
    </w:p>
    <w:p w14:paraId="417AA552" w14:textId="77777777" w:rsidR="00765628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9251887" w14:textId="77777777" w:rsidR="00FD7BF7" w:rsidRPr="00254313" w:rsidRDefault="00FD7BF7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3F2AAF70" w14:textId="77777777" w:rsidR="00765628" w:rsidRPr="00254313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</w:pPr>
      <w:r w:rsidRPr="00254313"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  <w:t>(Titular)</w:t>
      </w:r>
    </w:p>
    <w:p w14:paraId="63991E99" w14:textId="77777777" w:rsidR="00765628" w:rsidRPr="00BC7EE2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color w:val="FF0000"/>
          <w:sz w:val="20"/>
          <w:szCs w:val="20"/>
        </w:rPr>
      </w:pPr>
      <w:r w:rsidRPr="00BC7EE2">
        <w:rPr>
          <w:rStyle w:val="Destaque"/>
          <w:rFonts w:ascii="Century Gothic" w:hAnsi="Century Gothic" w:cs="Times New Roman"/>
          <w:color w:val="FF0000"/>
          <w:sz w:val="20"/>
          <w:szCs w:val="20"/>
        </w:rPr>
        <w:t>(Cargo)</w:t>
      </w:r>
    </w:p>
    <w:p w14:paraId="0437B54B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br w:type="page"/>
      </w:r>
    </w:p>
    <w:p w14:paraId="6832AC53" w14:textId="2250433F" w:rsidR="00D16BA4" w:rsidRPr="00E365B8" w:rsidRDefault="00D16BA4" w:rsidP="00D16BA4">
      <w:pPr>
        <w:jc w:val="center"/>
        <w:rPr>
          <w:rFonts w:cstheme="minorHAnsi"/>
          <w:b/>
          <w:i/>
          <w:color w:val="0033CC"/>
          <w:sz w:val="32"/>
          <w:szCs w:val="32"/>
        </w:rPr>
      </w:pPr>
      <w:r w:rsidRPr="00E365B8">
        <w:rPr>
          <w:rFonts w:cstheme="minorHAnsi"/>
          <w:b/>
          <w:color w:val="0033CC"/>
          <w:sz w:val="32"/>
          <w:szCs w:val="32"/>
        </w:rPr>
        <w:lastRenderedPageBreak/>
        <w:t>Relatório Progestão 201</w:t>
      </w:r>
      <w:r w:rsidR="0084353E">
        <w:rPr>
          <w:rFonts w:cstheme="minorHAnsi"/>
          <w:b/>
          <w:color w:val="0033CC"/>
          <w:sz w:val="32"/>
          <w:szCs w:val="32"/>
        </w:rPr>
        <w:t>9</w:t>
      </w:r>
      <w:r w:rsidRPr="00E365B8">
        <w:rPr>
          <w:rFonts w:cstheme="minorHAnsi"/>
          <w:b/>
          <w:color w:val="0033CC"/>
          <w:sz w:val="32"/>
          <w:szCs w:val="32"/>
        </w:rPr>
        <w:t xml:space="preserve">: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o</w:t>
      </w:r>
      <w:r w:rsidRPr="00E365B8">
        <w:rPr>
          <w:rFonts w:cstheme="minorHAnsi"/>
          <w:b/>
          <w:i/>
          <w:color w:val="0033CC"/>
          <w:sz w:val="32"/>
          <w:szCs w:val="32"/>
        </w:rPr>
        <w:t xml:space="preserve">rientações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gerais</w:t>
      </w:r>
    </w:p>
    <w:p w14:paraId="7B09E130" w14:textId="77777777" w:rsidR="00D16BA4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A</w:t>
      </w:r>
      <w:r w:rsidR="00D16BA4" w:rsidRPr="00E365B8">
        <w:rPr>
          <w:rFonts w:cstheme="minorHAnsi"/>
          <w:i/>
          <w:color w:val="0033CC"/>
          <w:sz w:val="24"/>
          <w:szCs w:val="24"/>
        </w:rPr>
        <w:t>s orientações grafadas em vermelho</w:t>
      </w:r>
      <w:r w:rsidRPr="00E365B8">
        <w:rPr>
          <w:rFonts w:cstheme="minorHAnsi"/>
          <w:i/>
          <w:color w:val="0033CC"/>
          <w:sz w:val="24"/>
          <w:szCs w:val="24"/>
        </w:rPr>
        <w:t>, ao longo dos itens,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deverão ser suprimidas e substituídas pelas informações correspondentes</w:t>
      </w:r>
      <w:r w:rsidR="006C4F98">
        <w:rPr>
          <w:rFonts w:cstheme="minorHAnsi"/>
          <w:i/>
          <w:color w:val="0033CC"/>
          <w:sz w:val="24"/>
          <w:szCs w:val="24"/>
        </w:rPr>
        <w:t>.</w:t>
      </w:r>
    </w:p>
    <w:p w14:paraId="4510E400" w14:textId="77777777" w:rsidR="008C2073" w:rsidRDefault="00D02B3C" w:rsidP="008C2073">
      <w:pPr>
        <w:pStyle w:val="PargrafodaLista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 xml:space="preserve">O Relatório </w:t>
      </w:r>
      <w:r w:rsidR="008C2073">
        <w:rPr>
          <w:rFonts w:cstheme="minorHAnsi"/>
          <w:i/>
          <w:color w:val="0033CC"/>
          <w:sz w:val="24"/>
          <w:szCs w:val="24"/>
        </w:rPr>
        <w:t xml:space="preserve">contempla os seguintes itens: </w:t>
      </w:r>
    </w:p>
    <w:p w14:paraId="3407ADB1" w14:textId="77777777" w:rsidR="008C2073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Apresentação</w:t>
      </w:r>
    </w:p>
    <w:p w14:paraId="259F230A" w14:textId="77777777" w:rsidR="008C2073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Metas de cooperação federativa</w:t>
      </w:r>
    </w:p>
    <w:p w14:paraId="650FF1E6" w14:textId="39D36E23" w:rsidR="00D02B3C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Aplicação dos recursos</w:t>
      </w:r>
      <w:r w:rsidR="00D02B3C">
        <w:rPr>
          <w:rFonts w:cstheme="minorHAnsi"/>
          <w:i/>
          <w:color w:val="0033CC"/>
          <w:sz w:val="24"/>
          <w:szCs w:val="24"/>
        </w:rPr>
        <w:t xml:space="preserve"> </w:t>
      </w:r>
      <w:r>
        <w:rPr>
          <w:rFonts w:cstheme="minorHAnsi"/>
          <w:i/>
          <w:color w:val="0033CC"/>
          <w:sz w:val="24"/>
          <w:szCs w:val="24"/>
        </w:rPr>
        <w:t>do Progestão até dezembro de 201</w:t>
      </w:r>
      <w:r w:rsidR="0084353E">
        <w:rPr>
          <w:rFonts w:cstheme="minorHAnsi"/>
          <w:i/>
          <w:color w:val="0033CC"/>
          <w:sz w:val="24"/>
          <w:szCs w:val="24"/>
        </w:rPr>
        <w:t>9</w:t>
      </w:r>
    </w:p>
    <w:p w14:paraId="2FBFF865" w14:textId="77777777" w:rsidR="008C2073" w:rsidRPr="00E365B8" w:rsidRDefault="008C2073" w:rsidP="00C30400">
      <w:pPr>
        <w:pStyle w:val="PargrafodaLista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Anexos (caso necessário).</w:t>
      </w:r>
    </w:p>
    <w:p w14:paraId="72A90D7C" w14:textId="77777777" w:rsidR="0081004F" w:rsidRPr="00E365B8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O conteúdo indicado é o mínimo requerido e o estado poderá acrescentar quaisquer outras informações que julgar conveniente</w:t>
      </w:r>
      <w:r w:rsidR="006C4F98">
        <w:rPr>
          <w:rFonts w:cstheme="minorHAnsi"/>
          <w:i/>
          <w:color w:val="0033CC"/>
          <w:sz w:val="24"/>
          <w:szCs w:val="24"/>
        </w:rPr>
        <w:t>.</w:t>
      </w:r>
    </w:p>
    <w:p w14:paraId="5A77433C" w14:textId="77777777" w:rsidR="00D16BA4" w:rsidRDefault="00B26967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Recomenda-se u</w:t>
      </w:r>
      <w:r w:rsidR="00D16BA4" w:rsidRPr="00E365B8">
        <w:rPr>
          <w:rFonts w:cstheme="minorHAnsi"/>
          <w:i/>
          <w:color w:val="0033CC"/>
          <w:sz w:val="24"/>
          <w:szCs w:val="24"/>
        </w:rPr>
        <w:t>tilizar nova p</w:t>
      </w:r>
      <w:r w:rsidR="006C4F98">
        <w:rPr>
          <w:rFonts w:cstheme="minorHAnsi"/>
          <w:i/>
          <w:color w:val="0033CC"/>
          <w:sz w:val="24"/>
          <w:szCs w:val="24"/>
        </w:rPr>
        <w:t>á</w:t>
      </w:r>
      <w:r w:rsidR="00D16BA4" w:rsidRPr="00E365B8">
        <w:rPr>
          <w:rFonts w:cstheme="minorHAnsi"/>
          <w:i/>
          <w:color w:val="0033CC"/>
          <w:sz w:val="24"/>
          <w:szCs w:val="24"/>
        </w:rPr>
        <w:t>gina para cada item das metas</w:t>
      </w:r>
      <w:r w:rsidR="006C4F98">
        <w:rPr>
          <w:rFonts w:cstheme="minorHAnsi"/>
          <w:i/>
          <w:color w:val="0033CC"/>
          <w:sz w:val="24"/>
          <w:szCs w:val="24"/>
        </w:rPr>
        <w:t xml:space="preserve"> de cooperação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federativa, de maneira a facilitar a posterior submissão</w:t>
      </w:r>
      <w:r w:rsidRPr="00E365B8">
        <w:rPr>
          <w:rFonts w:cstheme="minorHAnsi"/>
          <w:i/>
          <w:color w:val="0033CC"/>
          <w:sz w:val="24"/>
          <w:szCs w:val="24"/>
        </w:rPr>
        <w:t xml:space="preserve"> das informações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às UORGs da ANA responsáveis pela ce</w:t>
      </w:r>
      <w:r w:rsidRPr="00E365B8">
        <w:rPr>
          <w:rFonts w:cstheme="minorHAnsi"/>
          <w:i/>
          <w:color w:val="0033CC"/>
          <w:sz w:val="24"/>
          <w:szCs w:val="24"/>
        </w:rPr>
        <w:t xml:space="preserve">rtificação das </w:t>
      </w:r>
      <w:r w:rsidR="006C4F98">
        <w:rPr>
          <w:rFonts w:cstheme="minorHAnsi"/>
          <w:i/>
          <w:color w:val="0033CC"/>
          <w:sz w:val="24"/>
          <w:szCs w:val="24"/>
        </w:rPr>
        <w:t>mesmas.</w:t>
      </w:r>
    </w:p>
    <w:p w14:paraId="2C5B31EF" w14:textId="6DD77413" w:rsidR="00AE39F1" w:rsidRPr="00E365B8" w:rsidRDefault="0084353E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 xml:space="preserve">Para os </w:t>
      </w:r>
      <w:r w:rsidRPr="008E5FE5">
        <w:rPr>
          <w:rFonts w:cstheme="minorHAnsi"/>
          <w:i/>
          <w:color w:val="0033CC"/>
          <w:sz w:val="24"/>
          <w:szCs w:val="24"/>
        </w:rPr>
        <w:t>estados</w:t>
      </w:r>
      <w:r w:rsidR="008E5FE5" w:rsidRPr="008E5FE5">
        <w:rPr>
          <w:rFonts w:cstheme="minorHAnsi"/>
          <w:i/>
          <w:color w:val="0033CC"/>
          <w:sz w:val="24"/>
          <w:szCs w:val="24"/>
        </w:rPr>
        <w:t xml:space="preserve"> do</w:t>
      </w:r>
      <w:r>
        <w:rPr>
          <w:rFonts w:cstheme="minorHAnsi"/>
          <w:i/>
          <w:color w:val="0033CC"/>
          <w:sz w:val="24"/>
          <w:szCs w:val="24"/>
        </w:rPr>
        <w:t xml:space="preserve"> </w:t>
      </w:r>
      <w:r>
        <w:rPr>
          <w:rFonts w:ascii="Arial" w:hAnsi="Arial" w:cs="Arial"/>
          <w:bCs/>
          <w:smallCaps/>
          <w:color w:val="0033CC"/>
        </w:rPr>
        <w:t>Amapá</w:t>
      </w:r>
      <w:r w:rsidR="008E5FE5">
        <w:rPr>
          <w:rFonts w:ascii="Arial" w:hAnsi="Arial" w:cs="Arial"/>
          <w:bCs/>
          <w:smallCaps/>
          <w:color w:val="0033CC"/>
        </w:rPr>
        <w:t xml:space="preserve"> </w:t>
      </w:r>
      <w:r w:rsidR="008E5FE5" w:rsidRPr="008E5FE5">
        <w:rPr>
          <w:rFonts w:cstheme="minorHAnsi"/>
          <w:i/>
          <w:color w:val="0033CC"/>
          <w:sz w:val="24"/>
          <w:szCs w:val="24"/>
        </w:rPr>
        <w:t>e</w:t>
      </w:r>
      <w:r w:rsidRPr="00D5372E">
        <w:rPr>
          <w:rFonts w:ascii="Arial" w:hAnsi="Arial" w:cs="Arial"/>
          <w:bCs/>
          <w:smallCaps/>
          <w:color w:val="0033CC"/>
        </w:rPr>
        <w:t xml:space="preserve"> </w:t>
      </w:r>
      <w:r w:rsidR="008E5FE5">
        <w:rPr>
          <w:rFonts w:ascii="Arial" w:hAnsi="Arial" w:cs="Arial"/>
          <w:bCs/>
          <w:smallCaps/>
          <w:color w:val="0033CC"/>
        </w:rPr>
        <w:t xml:space="preserve">São Paulo </w:t>
      </w:r>
      <w:r w:rsidR="008E5FE5" w:rsidRPr="008E5FE5">
        <w:rPr>
          <w:rFonts w:cstheme="minorHAnsi"/>
          <w:i/>
          <w:color w:val="0033CC"/>
        </w:rPr>
        <w:t>e o</w:t>
      </w:r>
      <w:r w:rsidRPr="00D5372E">
        <w:rPr>
          <w:rFonts w:ascii="Arial" w:hAnsi="Arial" w:cs="Arial"/>
          <w:bCs/>
          <w:smallCaps/>
          <w:color w:val="0033CC"/>
        </w:rPr>
        <w:t xml:space="preserve"> </w:t>
      </w:r>
      <w:r>
        <w:rPr>
          <w:rFonts w:ascii="Arial" w:hAnsi="Arial" w:cs="Arial"/>
          <w:bCs/>
          <w:smallCaps/>
          <w:color w:val="0033CC"/>
        </w:rPr>
        <w:t>Distrito Federal</w:t>
      </w:r>
      <w:r w:rsidR="008E5FE5">
        <w:rPr>
          <w:rFonts w:ascii="Arial" w:hAnsi="Arial" w:cs="Arial"/>
          <w:bCs/>
          <w:smallCaps/>
          <w:color w:val="0033CC"/>
        </w:rPr>
        <w:t>,</w:t>
      </w:r>
      <w:r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  <w:sz w:val="24"/>
          <w:szCs w:val="24"/>
        </w:rPr>
        <w:t xml:space="preserve">que </w:t>
      </w:r>
      <w:r w:rsidRPr="0091172B">
        <w:rPr>
          <w:rFonts w:cstheme="minorHAnsi"/>
          <w:i/>
          <w:color w:val="0033CC"/>
        </w:rPr>
        <w:t xml:space="preserve">adotaram o ano de 2019 como </w:t>
      </w:r>
      <w:r>
        <w:rPr>
          <w:rFonts w:cstheme="minorHAnsi"/>
          <w:i/>
          <w:color w:val="0033CC"/>
        </w:rPr>
        <w:t>5</w:t>
      </w:r>
      <w:r w:rsidRPr="0091172B">
        <w:rPr>
          <w:rFonts w:cstheme="minorHAnsi"/>
          <w:b/>
          <w:i/>
          <w:color w:val="0033CC"/>
        </w:rPr>
        <w:t>º</w:t>
      </w:r>
      <w:r>
        <w:rPr>
          <w:rFonts w:cstheme="minorHAnsi"/>
          <w:b/>
          <w:i/>
          <w:color w:val="0033CC"/>
        </w:rPr>
        <w:t xml:space="preserve"> e último</w:t>
      </w:r>
      <w:r w:rsidRPr="0091172B">
        <w:rPr>
          <w:rFonts w:cstheme="minorHAnsi"/>
          <w:b/>
          <w:i/>
          <w:color w:val="0033CC"/>
        </w:rPr>
        <w:t xml:space="preserve"> período de certificação </w:t>
      </w:r>
      <w:r w:rsidRPr="0091172B">
        <w:rPr>
          <w:rFonts w:cstheme="minorHAnsi"/>
          <w:bCs/>
          <w:i/>
          <w:color w:val="0033CC"/>
        </w:rPr>
        <w:t xml:space="preserve">no </w:t>
      </w:r>
      <w:r>
        <w:rPr>
          <w:rFonts w:cstheme="minorHAnsi"/>
          <w:bCs/>
          <w:i/>
          <w:color w:val="0033CC"/>
        </w:rPr>
        <w:t>1</w:t>
      </w:r>
      <w:r w:rsidRPr="0091172B">
        <w:rPr>
          <w:rFonts w:cstheme="minorHAnsi"/>
          <w:bCs/>
          <w:i/>
          <w:color w:val="0033CC"/>
        </w:rPr>
        <w:t>º ciclo do Progestão,</w:t>
      </w:r>
      <w:r w:rsidRPr="0091172B">
        <w:rPr>
          <w:rFonts w:cstheme="minorHAnsi"/>
          <w:b/>
          <w:i/>
          <w:color w:val="0033CC"/>
        </w:rPr>
        <w:t xml:space="preserve"> </w:t>
      </w:r>
      <w:r>
        <w:rPr>
          <w:rFonts w:cstheme="minorHAnsi"/>
          <w:b/>
          <w:i/>
          <w:color w:val="0033CC"/>
        </w:rPr>
        <w:t>o</w:t>
      </w:r>
      <w:r w:rsidR="00AE39F1">
        <w:rPr>
          <w:rFonts w:cstheme="minorHAnsi"/>
          <w:i/>
          <w:color w:val="0033CC"/>
          <w:sz w:val="24"/>
          <w:szCs w:val="24"/>
        </w:rPr>
        <w:t xml:space="preserve"> alcance das metas de cooperação federativa será avaliado tendo em vista as orientações detalhadas no</w:t>
      </w:r>
      <w:r w:rsidR="008D20DB">
        <w:rPr>
          <w:rFonts w:cstheme="minorHAnsi"/>
          <w:i/>
          <w:color w:val="0033CC"/>
          <w:sz w:val="24"/>
          <w:szCs w:val="24"/>
        </w:rPr>
        <w:t>s</w:t>
      </w:r>
      <w:r w:rsidR="00AE39F1">
        <w:rPr>
          <w:rFonts w:cstheme="minorHAnsi"/>
          <w:i/>
          <w:color w:val="0033CC"/>
          <w:sz w:val="24"/>
          <w:szCs w:val="24"/>
        </w:rPr>
        <w:t xml:space="preserve"> </w:t>
      </w:r>
      <w:r w:rsidR="00AE39F1" w:rsidRPr="008D20DB">
        <w:rPr>
          <w:rFonts w:cstheme="minorHAnsi"/>
          <w:b/>
          <w:i/>
          <w:color w:val="0033CC"/>
          <w:sz w:val="24"/>
          <w:szCs w:val="24"/>
        </w:rPr>
        <w:t>Informe</w:t>
      </w:r>
      <w:r w:rsidR="008D20DB" w:rsidRPr="008D20DB">
        <w:rPr>
          <w:rFonts w:cstheme="minorHAnsi"/>
          <w:b/>
          <w:i/>
          <w:color w:val="0033CC"/>
          <w:sz w:val="24"/>
          <w:szCs w:val="24"/>
        </w:rPr>
        <w:t>s</w:t>
      </w:r>
      <w:r w:rsidR="00302AA9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302AA9" w:rsidRPr="0091172B">
        <w:rPr>
          <w:rFonts w:cstheme="minorHAnsi"/>
          <w:b/>
          <w:i/>
          <w:color w:val="0033CC"/>
          <w:sz w:val="24"/>
          <w:szCs w:val="24"/>
        </w:rPr>
        <w:t>02, 0</w:t>
      </w:r>
      <w:r w:rsidR="00302AA9">
        <w:rPr>
          <w:rFonts w:cstheme="minorHAnsi"/>
          <w:b/>
          <w:i/>
          <w:color w:val="0033CC"/>
          <w:sz w:val="24"/>
          <w:szCs w:val="24"/>
        </w:rPr>
        <w:t>4</w:t>
      </w:r>
      <w:r w:rsidR="000F568F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302AA9" w:rsidRPr="0091172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302AA9">
        <w:rPr>
          <w:rFonts w:cstheme="minorHAnsi"/>
          <w:b/>
          <w:i/>
          <w:color w:val="0033CC"/>
          <w:sz w:val="24"/>
          <w:szCs w:val="24"/>
        </w:rPr>
        <w:t>09</w:t>
      </w:r>
      <w:r w:rsidR="00302AA9" w:rsidRPr="0091172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AE39F1" w:rsidRPr="008D20D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C56B23">
        <w:rPr>
          <w:rFonts w:cstheme="minorHAnsi"/>
          <w:b/>
          <w:i/>
          <w:color w:val="0033CC"/>
          <w:sz w:val="24"/>
          <w:szCs w:val="24"/>
        </w:rPr>
        <w:t>enviados em</w:t>
      </w:r>
      <w:r w:rsidR="00AE39F1" w:rsidRPr="008D20DB">
        <w:rPr>
          <w:rFonts w:cstheme="minorHAnsi"/>
          <w:b/>
          <w:i/>
          <w:color w:val="0033CC"/>
          <w:sz w:val="24"/>
          <w:szCs w:val="24"/>
        </w:rPr>
        <w:t xml:space="preserve"> 201</w:t>
      </w:r>
      <w:r>
        <w:rPr>
          <w:rFonts w:cstheme="minorHAnsi"/>
          <w:b/>
          <w:i/>
          <w:color w:val="0033CC"/>
          <w:sz w:val="24"/>
          <w:szCs w:val="24"/>
        </w:rPr>
        <w:t>9</w:t>
      </w:r>
      <w:r w:rsidR="00224F4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224F4B">
        <w:rPr>
          <w:rFonts w:cstheme="minorHAnsi"/>
          <w:i/>
          <w:color w:val="0033CC"/>
          <w:sz w:val="24"/>
          <w:szCs w:val="24"/>
        </w:rPr>
        <w:t>e d</w:t>
      </w:r>
      <w:r w:rsidR="00224F4B" w:rsidRPr="00224F4B">
        <w:rPr>
          <w:rFonts w:cstheme="minorHAnsi"/>
          <w:i/>
          <w:color w:val="0033CC"/>
          <w:sz w:val="24"/>
          <w:szCs w:val="24"/>
        </w:rPr>
        <w:t xml:space="preserve">isponibilizados </w:t>
      </w:r>
      <w:r w:rsidR="00346263">
        <w:rPr>
          <w:rFonts w:cstheme="minorHAnsi"/>
          <w:i/>
          <w:color w:val="0033CC"/>
          <w:sz w:val="24"/>
          <w:szCs w:val="24"/>
        </w:rPr>
        <w:t>no portal</w:t>
      </w:r>
      <w:r w:rsidR="00224F4B" w:rsidRPr="00224F4B">
        <w:rPr>
          <w:rFonts w:cstheme="minorHAnsi"/>
          <w:i/>
          <w:color w:val="0033CC"/>
          <w:sz w:val="24"/>
          <w:szCs w:val="24"/>
        </w:rPr>
        <w:t xml:space="preserve"> Progestão</w:t>
      </w:r>
      <w:r w:rsidR="00AE39F1" w:rsidRPr="008D20DB">
        <w:rPr>
          <w:rFonts w:cstheme="minorHAnsi"/>
          <w:b/>
          <w:i/>
          <w:color w:val="0033CC"/>
          <w:sz w:val="24"/>
          <w:szCs w:val="24"/>
        </w:rPr>
        <w:t>.</w:t>
      </w:r>
      <w:r w:rsidR="000F568F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0F568F" w:rsidRPr="000F568F">
        <w:rPr>
          <w:rFonts w:cstheme="minorHAnsi"/>
          <w:bCs/>
          <w:i/>
          <w:color w:val="0033CC"/>
          <w:sz w:val="24"/>
          <w:szCs w:val="24"/>
        </w:rPr>
        <w:t>Para o estado</w:t>
      </w:r>
      <w:r w:rsidR="000F568F">
        <w:rPr>
          <w:rFonts w:cstheme="minorHAnsi"/>
          <w:bCs/>
          <w:i/>
          <w:color w:val="0033CC"/>
          <w:sz w:val="24"/>
          <w:szCs w:val="24"/>
        </w:rPr>
        <w:t xml:space="preserve"> de São Paulo, a meta I.2 referente ao compartilhamento de dados de água subterrânea foi pactuada por e-mail.</w:t>
      </w:r>
    </w:p>
    <w:p w14:paraId="41976F32" w14:textId="340C5B5D" w:rsidR="00D16BA4" w:rsidRPr="00E365B8" w:rsidRDefault="00D16BA4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 xml:space="preserve">Este </w:t>
      </w:r>
      <w:r w:rsidR="00313561">
        <w:rPr>
          <w:rFonts w:cstheme="minorHAnsi"/>
          <w:i/>
          <w:color w:val="0033CC"/>
          <w:sz w:val="24"/>
          <w:szCs w:val="24"/>
        </w:rPr>
        <w:t>R</w:t>
      </w:r>
      <w:r w:rsidRPr="00E365B8">
        <w:rPr>
          <w:rFonts w:cstheme="minorHAnsi"/>
          <w:i/>
          <w:color w:val="0033CC"/>
          <w:sz w:val="24"/>
          <w:szCs w:val="24"/>
        </w:rPr>
        <w:t xml:space="preserve">elatório </w:t>
      </w:r>
      <w:r w:rsidRPr="00E365B8">
        <w:rPr>
          <w:rFonts w:cstheme="minorHAnsi"/>
          <w:b/>
          <w:i/>
          <w:color w:val="0033CC"/>
          <w:sz w:val="24"/>
          <w:szCs w:val="24"/>
        </w:rPr>
        <w:t>deverá ser enviado à ANA até 31 de março de 20</w:t>
      </w:r>
      <w:r w:rsidR="0084353E">
        <w:rPr>
          <w:rFonts w:cstheme="minorHAnsi"/>
          <w:b/>
          <w:i/>
          <w:color w:val="0033CC"/>
          <w:sz w:val="24"/>
          <w:szCs w:val="24"/>
        </w:rPr>
        <w:t>20</w:t>
      </w:r>
      <w:r w:rsidRPr="00E365B8">
        <w:rPr>
          <w:rFonts w:cstheme="minorHAnsi"/>
          <w:b/>
          <w:i/>
          <w:color w:val="0033CC"/>
          <w:sz w:val="24"/>
          <w:szCs w:val="24"/>
        </w:rPr>
        <w:t>, acompanhado de of</w:t>
      </w:r>
      <w:r w:rsidR="00346263">
        <w:rPr>
          <w:rFonts w:cstheme="minorHAnsi"/>
          <w:b/>
          <w:i/>
          <w:color w:val="0033CC"/>
          <w:sz w:val="24"/>
          <w:szCs w:val="24"/>
        </w:rPr>
        <w:t>í</w:t>
      </w:r>
      <w:r w:rsidRPr="00E365B8">
        <w:rPr>
          <w:rFonts w:cstheme="minorHAnsi"/>
          <w:b/>
          <w:i/>
          <w:color w:val="0033CC"/>
          <w:sz w:val="24"/>
          <w:szCs w:val="24"/>
        </w:rPr>
        <w:t xml:space="preserve">cio devidamente assinado pelo titular da Entidade Estadual </w:t>
      </w:r>
      <w:r w:rsidRPr="00E365B8">
        <w:rPr>
          <w:rFonts w:cstheme="minorHAnsi"/>
          <w:i/>
          <w:color w:val="0033CC"/>
          <w:sz w:val="24"/>
          <w:szCs w:val="24"/>
        </w:rPr>
        <w:t xml:space="preserve">responsável pela </w:t>
      </w:r>
      <w:r w:rsidR="008C2073">
        <w:rPr>
          <w:rFonts w:cstheme="minorHAnsi"/>
          <w:i/>
          <w:color w:val="0033CC"/>
          <w:sz w:val="24"/>
          <w:szCs w:val="24"/>
        </w:rPr>
        <w:t>coorden</w:t>
      </w:r>
      <w:r w:rsidRPr="00E365B8">
        <w:rPr>
          <w:rFonts w:cstheme="minorHAnsi"/>
          <w:i/>
          <w:color w:val="0033CC"/>
          <w:sz w:val="24"/>
          <w:szCs w:val="24"/>
        </w:rPr>
        <w:t>ação do Progestão no estado.</w:t>
      </w:r>
    </w:p>
    <w:p w14:paraId="6991B50B" w14:textId="77777777" w:rsidR="0044381A" w:rsidRPr="00E365B8" w:rsidRDefault="0044381A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Em caso de quai</w:t>
      </w:r>
      <w:r w:rsidR="006C4F98">
        <w:rPr>
          <w:rFonts w:cstheme="minorHAnsi"/>
          <w:i/>
          <w:color w:val="0033CC"/>
          <w:sz w:val="24"/>
          <w:szCs w:val="24"/>
        </w:rPr>
        <w:t>squer dúvidas na elaboração do R</w:t>
      </w:r>
      <w:r w:rsidRPr="00E365B8">
        <w:rPr>
          <w:rFonts w:cstheme="minorHAnsi"/>
          <w:i/>
          <w:color w:val="0033CC"/>
          <w:sz w:val="24"/>
          <w:szCs w:val="24"/>
        </w:rPr>
        <w:t xml:space="preserve">elatório solicitamos entrar em contato com o gestor responsável pelo contrato Progestão do seu estado na ANA, </w:t>
      </w:r>
      <w:r w:rsidR="006C4F98" w:rsidRPr="006C4F98">
        <w:rPr>
          <w:rFonts w:cstheme="minorHAnsi"/>
          <w:i/>
          <w:color w:val="0033CC"/>
          <w:sz w:val="24"/>
          <w:szCs w:val="24"/>
        </w:rPr>
        <w:t xml:space="preserve">ou com a Coordenação de Apoio e Articulação com o Poder Público (COAPP) </w:t>
      </w:r>
      <w:r w:rsidRPr="00E365B8">
        <w:rPr>
          <w:rFonts w:cstheme="minorHAnsi"/>
          <w:i/>
          <w:color w:val="0033CC"/>
          <w:sz w:val="24"/>
          <w:szCs w:val="24"/>
        </w:rPr>
        <w:t>pelo</w:t>
      </w:r>
      <w:r w:rsidR="008347AC">
        <w:rPr>
          <w:rFonts w:cstheme="minorHAnsi"/>
          <w:i/>
          <w:color w:val="0033CC"/>
          <w:sz w:val="24"/>
          <w:szCs w:val="24"/>
        </w:rPr>
        <w:t>s</w:t>
      </w:r>
      <w:r w:rsidRPr="00E365B8">
        <w:rPr>
          <w:rFonts w:cstheme="minorHAnsi"/>
          <w:i/>
          <w:color w:val="0033CC"/>
          <w:sz w:val="24"/>
          <w:szCs w:val="24"/>
        </w:rPr>
        <w:t xml:space="preserve"> telefone</w:t>
      </w:r>
      <w:r w:rsidR="008347AC">
        <w:rPr>
          <w:rFonts w:cstheme="minorHAnsi"/>
          <w:i/>
          <w:color w:val="0033CC"/>
          <w:sz w:val="24"/>
          <w:szCs w:val="24"/>
        </w:rPr>
        <w:t>s</w:t>
      </w:r>
      <w:r w:rsidRPr="00E365B8">
        <w:rPr>
          <w:rFonts w:cstheme="minorHAnsi"/>
          <w:i/>
          <w:color w:val="0033CC"/>
          <w:sz w:val="24"/>
          <w:szCs w:val="24"/>
        </w:rPr>
        <w:t xml:space="preserve"> (61) 2109.5209</w:t>
      </w:r>
      <w:r w:rsidR="00C3753F">
        <w:rPr>
          <w:rFonts w:cstheme="minorHAnsi"/>
          <w:i/>
          <w:color w:val="0033CC"/>
          <w:sz w:val="24"/>
          <w:szCs w:val="24"/>
        </w:rPr>
        <w:t>/53</w:t>
      </w:r>
      <w:r w:rsidR="00346263">
        <w:rPr>
          <w:rFonts w:cstheme="minorHAnsi"/>
          <w:i/>
          <w:color w:val="0033CC"/>
          <w:sz w:val="24"/>
          <w:szCs w:val="24"/>
        </w:rPr>
        <w:t>26</w:t>
      </w:r>
      <w:r w:rsidR="00C3753F">
        <w:rPr>
          <w:rFonts w:cstheme="minorHAnsi"/>
          <w:i/>
          <w:color w:val="0033CC"/>
          <w:sz w:val="24"/>
          <w:szCs w:val="24"/>
        </w:rPr>
        <w:t xml:space="preserve"> </w:t>
      </w:r>
      <w:r w:rsidR="00C3753F" w:rsidRPr="00C3753F">
        <w:rPr>
          <w:rFonts w:cstheme="minorHAnsi"/>
          <w:i/>
          <w:color w:val="0033CC"/>
          <w:sz w:val="24"/>
          <w:szCs w:val="24"/>
        </w:rPr>
        <w:t xml:space="preserve">ou </w:t>
      </w:r>
      <w:r w:rsidR="00F34CF5">
        <w:rPr>
          <w:rFonts w:cstheme="minorHAnsi"/>
          <w:i/>
          <w:color w:val="0033CC"/>
          <w:sz w:val="24"/>
          <w:szCs w:val="24"/>
        </w:rPr>
        <w:t xml:space="preserve">pelo </w:t>
      </w:r>
      <w:r w:rsidR="00C3753F" w:rsidRPr="00C3753F">
        <w:rPr>
          <w:rFonts w:cstheme="minorHAnsi"/>
          <w:i/>
          <w:color w:val="0033CC"/>
          <w:sz w:val="24"/>
          <w:szCs w:val="24"/>
        </w:rPr>
        <w:t>e-mail coapp@ana.gov.br</w:t>
      </w:r>
      <w:r w:rsidRPr="00E365B8">
        <w:rPr>
          <w:rFonts w:cstheme="minorHAnsi"/>
          <w:i/>
          <w:color w:val="0033CC"/>
          <w:sz w:val="24"/>
          <w:szCs w:val="24"/>
        </w:rPr>
        <w:t>.</w:t>
      </w:r>
    </w:p>
    <w:p w14:paraId="15DB45B5" w14:textId="77777777" w:rsidR="00D11011" w:rsidRPr="00E365B8" w:rsidRDefault="00D11011" w:rsidP="00D11011">
      <w:pPr>
        <w:spacing w:after="120" w:line="240" w:lineRule="auto"/>
        <w:ind w:left="357"/>
        <w:jc w:val="right"/>
        <w:rPr>
          <w:rFonts w:cstheme="minorHAnsi"/>
          <w:i/>
          <w:color w:val="0033CC"/>
          <w:sz w:val="24"/>
          <w:szCs w:val="24"/>
        </w:rPr>
      </w:pPr>
    </w:p>
    <w:p w14:paraId="5CDF0CF5" w14:textId="77777777" w:rsidR="00D16BA4" w:rsidRPr="0084353E" w:rsidRDefault="00D16BA4" w:rsidP="0084353E">
      <w:pPr>
        <w:pStyle w:val="Corpodetexto2"/>
        <w:tabs>
          <w:tab w:val="left" w:pos="993"/>
        </w:tabs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84353E">
        <w:rPr>
          <w:rFonts w:ascii="Century Gothic" w:hAnsi="Century Gothic"/>
          <w:bCs/>
          <w:sz w:val="20"/>
          <w:szCs w:val="20"/>
        </w:rPr>
        <w:br w:type="page"/>
      </w:r>
    </w:p>
    <w:p w14:paraId="74010677" w14:textId="77777777" w:rsidR="00F6145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lastRenderedPageBreak/>
        <w:t xml:space="preserve">Programa Nacional de Consolidação do </w:t>
      </w:r>
    </w:p>
    <w:p w14:paraId="6661FFE9" w14:textId="77777777" w:rsidR="00017D7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t xml:space="preserve">Pacto Nacional pela Gestão das Águas – </w:t>
      </w:r>
      <w:r w:rsidR="00346263" w:rsidRPr="00B26967">
        <w:rPr>
          <w:rFonts w:cstheme="minorHAnsi"/>
          <w:b/>
          <w:sz w:val="32"/>
          <w:szCs w:val="32"/>
        </w:rPr>
        <w:t>PROGESTÃO</w:t>
      </w:r>
    </w:p>
    <w:p w14:paraId="58A37113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1135C12B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56404B3D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7B933AF9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5A4A5E2A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720B46E6" w14:textId="32C048C4" w:rsidR="00842986" w:rsidRDefault="00F6145C" w:rsidP="00017D7C">
      <w:pPr>
        <w:jc w:val="center"/>
        <w:rPr>
          <w:rFonts w:cstheme="minorHAnsi"/>
          <w:b/>
          <w:sz w:val="40"/>
          <w:szCs w:val="40"/>
        </w:rPr>
      </w:pPr>
      <w:r w:rsidRPr="00B26967">
        <w:rPr>
          <w:rFonts w:cstheme="minorHAnsi"/>
          <w:b/>
          <w:sz w:val="40"/>
          <w:szCs w:val="40"/>
        </w:rPr>
        <w:t>Relatório Progestão 201</w:t>
      </w:r>
      <w:r w:rsidR="000F568F">
        <w:rPr>
          <w:rFonts w:cstheme="minorHAnsi"/>
          <w:b/>
          <w:sz w:val="40"/>
          <w:szCs w:val="40"/>
        </w:rPr>
        <w:t>9</w:t>
      </w:r>
    </w:p>
    <w:p w14:paraId="35ABD6FF" w14:textId="6F1017AB" w:rsidR="00017D7C" w:rsidRPr="00B26967" w:rsidRDefault="00842986" w:rsidP="00017D7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 xml:space="preserve">─ </w:t>
      </w:r>
      <w:r w:rsidR="000F568F">
        <w:rPr>
          <w:rFonts w:cstheme="minorHAnsi"/>
          <w:b/>
          <w:sz w:val="32"/>
          <w:szCs w:val="32"/>
        </w:rPr>
        <w:t>5</w:t>
      </w:r>
      <w:r>
        <w:rPr>
          <w:rFonts w:cstheme="minorHAnsi"/>
          <w:b/>
          <w:sz w:val="32"/>
          <w:szCs w:val="32"/>
        </w:rPr>
        <w:t>º Período de Certificação ─</w:t>
      </w:r>
      <w:r w:rsidR="00F6145C" w:rsidRPr="00B26967">
        <w:rPr>
          <w:rFonts w:cstheme="minorHAnsi"/>
          <w:b/>
          <w:sz w:val="40"/>
          <w:szCs w:val="40"/>
        </w:rPr>
        <w:t xml:space="preserve"> </w:t>
      </w:r>
    </w:p>
    <w:p w14:paraId="1C63CEC7" w14:textId="77777777" w:rsidR="00F6145C" w:rsidRPr="00B26967" w:rsidRDefault="00F6145C" w:rsidP="00017D7C">
      <w:pPr>
        <w:jc w:val="center"/>
        <w:rPr>
          <w:rFonts w:cstheme="minorHAnsi"/>
          <w:b/>
          <w:color w:val="FF0000"/>
          <w:sz w:val="36"/>
          <w:szCs w:val="36"/>
        </w:rPr>
      </w:pPr>
      <w:r w:rsidRPr="00B26967">
        <w:rPr>
          <w:rFonts w:cstheme="minorHAnsi"/>
          <w:b/>
          <w:color w:val="FF0000"/>
          <w:sz w:val="40"/>
          <w:szCs w:val="40"/>
        </w:rPr>
        <w:t>(nome do estado)</w:t>
      </w:r>
    </w:p>
    <w:p w14:paraId="3C006F7A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7C16439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512ED4CB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0CA653C7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63E8BF93" w14:textId="77777777" w:rsidR="0067658B" w:rsidRDefault="0067658B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30A52C6" w14:textId="77777777" w:rsidR="0067658B" w:rsidRDefault="0067658B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6E16771B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6EE42657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419FC839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29D10CD9" w14:textId="29D8D427" w:rsidR="0081004F" w:rsidRDefault="00B26967" w:rsidP="00B26967">
      <w:pPr>
        <w:jc w:val="center"/>
        <w:rPr>
          <w:b/>
          <w:sz w:val="28"/>
          <w:szCs w:val="28"/>
        </w:rPr>
      </w:pPr>
      <w:r w:rsidRPr="00B26967">
        <w:rPr>
          <w:rFonts w:cstheme="minorHAnsi"/>
          <w:b/>
          <w:color w:val="FF0000"/>
          <w:sz w:val="28"/>
          <w:szCs w:val="28"/>
        </w:rPr>
        <w:t xml:space="preserve">31 </w:t>
      </w:r>
      <w:r w:rsidRPr="00B26967">
        <w:rPr>
          <w:rFonts w:cstheme="minorHAnsi"/>
          <w:b/>
          <w:sz w:val="28"/>
          <w:szCs w:val="28"/>
        </w:rPr>
        <w:t>de</w:t>
      </w:r>
      <w:r w:rsidRPr="00B26967">
        <w:rPr>
          <w:rFonts w:cstheme="minorHAnsi"/>
          <w:b/>
          <w:color w:val="FF0000"/>
          <w:sz w:val="28"/>
          <w:szCs w:val="28"/>
        </w:rPr>
        <w:t xml:space="preserve"> m</w:t>
      </w:r>
      <w:r w:rsidR="00017D7C" w:rsidRPr="00B26967">
        <w:rPr>
          <w:rFonts w:cstheme="minorHAnsi"/>
          <w:b/>
          <w:color w:val="FF0000"/>
          <w:sz w:val="28"/>
          <w:szCs w:val="28"/>
        </w:rPr>
        <w:t xml:space="preserve">arço </w:t>
      </w:r>
      <w:r w:rsidR="00EA2EE9" w:rsidRPr="00EA2EE9">
        <w:rPr>
          <w:rFonts w:cstheme="minorHAnsi"/>
          <w:b/>
          <w:sz w:val="28"/>
          <w:szCs w:val="28"/>
        </w:rPr>
        <w:t xml:space="preserve">de </w:t>
      </w:r>
      <w:r w:rsidR="00017D7C" w:rsidRPr="00B26967">
        <w:rPr>
          <w:rFonts w:cstheme="minorHAnsi"/>
          <w:b/>
          <w:sz w:val="28"/>
          <w:szCs w:val="28"/>
        </w:rPr>
        <w:t>20</w:t>
      </w:r>
      <w:r w:rsidR="000F568F">
        <w:rPr>
          <w:rFonts w:cstheme="minorHAnsi"/>
          <w:b/>
          <w:sz w:val="28"/>
          <w:szCs w:val="28"/>
        </w:rPr>
        <w:t>20</w:t>
      </w:r>
      <w:r w:rsidR="0081004F">
        <w:rPr>
          <w:b/>
          <w:sz w:val="28"/>
          <w:szCs w:val="28"/>
        </w:rPr>
        <w:br w:type="page"/>
      </w:r>
    </w:p>
    <w:p w14:paraId="53E6A803" w14:textId="77777777" w:rsidR="00B26967" w:rsidRPr="0001220D" w:rsidRDefault="00FB21E0" w:rsidP="0001220D">
      <w:pPr>
        <w:spacing w:after="240"/>
        <w:rPr>
          <w:rFonts w:cstheme="minorHAnsi"/>
          <w:sz w:val="32"/>
          <w:szCs w:val="32"/>
        </w:rPr>
      </w:pPr>
      <w:r w:rsidRPr="0001220D">
        <w:rPr>
          <w:rFonts w:cstheme="minorHAnsi"/>
          <w:b/>
          <w:sz w:val="32"/>
          <w:szCs w:val="32"/>
        </w:rPr>
        <w:lastRenderedPageBreak/>
        <w:t xml:space="preserve">Apresentação </w:t>
      </w:r>
    </w:p>
    <w:p w14:paraId="52C86A5C" w14:textId="77777777" w:rsidR="00FB21E0" w:rsidRPr="001D2A6E" w:rsidRDefault="00AE67C0" w:rsidP="0001220D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1D2A6E">
        <w:rPr>
          <w:rFonts w:cstheme="minorHAnsi"/>
          <w:color w:val="FF0000"/>
          <w:sz w:val="24"/>
          <w:szCs w:val="24"/>
        </w:rPr>
        <w:t>(</w:t>
      </w:r>
      <w:r w:rsidR="00A0526A" w:rsidRPr="001D2A6E">
        <w:rPr>
          <w:rFonts w:cstheme="minorHAnsi"/>
          <w:color w:val="FF0000"/>
          <w:sz w:val="24"/>
          <w:szCs w:val="24"/>
        </w:rPr>
        <w:t>Contextualização</w:t>
      </w:r>
      <w:r w:rsidRPr="001D2A6E">
        <w:rPr>
          <w:rFonts w:cstheme="minorHAnsi"/>
          <w:color w:val="FF0000"/>
          <w:sz w:val="24"/>
          <w:szCs w:val="24"/>
        </w:rPr>
        <w:t xml:space="preserve"> do Progestão no estado</w:t>
      </w:r>
      <w:r w:rsidR="00B26967" w:rsidRPr="001D2A6E">
        <w:rPr>
          <w:rFonts w:cstheme="minorHAnsi"/>
          <w:color w:val="FF0000"/>
          <w:sz w:val="24"/>
          <w:szCs w:val="24"/>
        </w:rPr>
        <w:t>, identificação do contrato, identificação do gestor do contrato no âmbito do estado, informações de contato,</w:t>
      </w:r>
      <w:r w:rsidR="000D4A5E">
        <w:rPr>
          <w:rFonts w:cstheme="minorHAnsi"/>
          <w:color w:val="FF0000"/>
          <w:sz w:val="24"/>
          <w:szCs w:val="24"/>
        </w:rPr>
        <w:t xml:space="preserve"> registro de desafios ou situações que interferiram no cumprimento de metas,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e quaisquer outras informações </w:t>
      </w:r>
      <w:r w:rsidR="009C2753">
        <w:rPr>
          <w:rFonts w:cstheme="minorHAnsi"/>
          <w:color w:val="FF0000"/>
          <w:sz w:val="24"/>
          <w:szCs w:val="24"/>
        </w:rPr>
        <w:t>consideradas pertinentes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para 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</w:t>
      </w:r>
      <w:r w:rsidR="00763659">
        <w:rPr>
          <w:rFonts w:cstheme="minorHAnsi"/>
          <w:color w:val="FF0000"/>
          <w:sz w:val="24"/>
          <w:szCs w:val="24"/>
        </w:rPr>
        <w:t>adequad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763659">
        <w:rPr>
          <w:rFonts w:cstheme="minorHAnsi"/>
          <w:color w:val="FF0000"/>
          <w:sz w:val="24"/>
          <w:szCs w:val="24"/>
        </w:rPr>
        <w:t xml:space="preserve"> </w:t>
      </w:r>
      <w:r w:rsidR="000D4A5E">
        <w:rPr>
          <w:rFonts w:cstheme="minorHAnsi"/>
          <w:color w:val="FF0000"/>
          <w:sz w:val="24"/>
          <w:szCs w:val="24"/>
        </w:rPr>
        <w:t>execução estadual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do </w:t>
      </w:r>
      <w:r w:rsidR="009C2753">
        <w:rPr>
          <w:rFonts w:cstheme="minorHAnsi"/>
          <w:color w:val="FF0000"/>
          <w:sz w:val="24"/>
          <w:szCs w:val="24"/>
        </w:rPr>
        <w:t>Programa</w:t>
      </w:r>
      <w:r w:rsidRPr="001D2A6E">
        <w:rPr>
          <w:rFonts w:cstheme="minorHAnsi"/>
          <w:color w:val="FF0000"/>
          <w:sz w:val="24"/>
          <w:szCs w:val="24"/>
        </w:rPr>
        <w:t>)</w:t>
      </w:r>
    </w:p>
    <w:p w14:paraId="6DA51B25" w14:textId="77777777" w:rsidR="00FB21E0" w:rsidRPr="001D2A6E" w:rsidRDefault="00FB21E0" w:rsidP="00FB21E0">
      <w:pPr>
        <w:pStyle w:val="PargrafodaLista"/>
        <w:rPr>
          <w:rFonts w:cstheme="minorHAnsi"/>
          <w:b/>
          <w:sz w:val="24"/>
          <w:szCs w:val="24"/>
        </w:rPr>
      </w:pPr>
    </w:p>
    <w:p w14:paraId="720F3E78" w14:textId="77777777" w:rsidR="007342AC" w:rsidRPr="001D2A6E" w:rsidRDefault="007342AC">
      <w:pPr>
        <w:rPr>
          <w:rFonts w:cstheme="minorHAnsi"/>
          <w:b/>
          <w:sz w:val="24"/>
          <w:szCs w:val="24"/>
        </w:rPr>
      </w:pPr>
      <w:r w:rsidRPr="001D2A6E">
        <w:rPr>
          <w:rFonts w:cstheme="minorHAnsi"/>
          <w:b/>
          <w:sz w:val="24"/>
          <w:szCs w:val="24"/>
        </w:rPr>
        <w:br w:type="page"/>
      </w:r>
    </w:p>
    <w:p w14:paraId="4DDC6E50" w14:textId="77777777" w:rsidR="00FB21E0" w:rsidRPr="00D02B3C" w:rsidRDefault="00FB21E0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Metas</w:t>
      </w:r>
      <w:r w:rsidR="00A0526A" w:rsidRPr="00D02B3C">
        <w:rPr>
          <w:rFonts w:cstheme="minorHAnsi"/>
          <w:b/>
          <w:sz w:val="32"/>
          <w:szCs w:val="32"/>
        </w:rPr>
        <w:t xml:space="preserve"> de Cooperação</w:t>
      </w:r>
      <w:r w:rsidRPr="00D02B3C">
        <w:rPr>
          <w:rFonts w:cstheme="minorHAnsi"/>
          <w:b/>
          <w:sz w:val="32"/>
          <w:szCs w:val="32"/>
        </w:rPr>
        <w:t xml:space="preserve"> Federativa</w:t>
      </w:r>
    </w:p>
    <w:p w14:paraId="1C80E27C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t>META 1.1 – INTEGRAÇÃO DOS DADOS DE USUÁRIOS DE RECURSOS HÍDRICOS</w:t>
      </w:r>
    </w:p>
    <w:p w14:paraId="177D6659" w14:textId="77777777" w:rsidR="00F97E81" w:rsidRDefault="00F97E81" w:rsidP="006466A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>Para a comprovação desta meta deve</w:t>
      </w:r>
      <w:r w:rsidR="006466AC">
        <w:rPr>
          <w:rFonts w:cstheme="minorHAnsi"/>
          <w:color w:val="FF0000"/>
          <w:lang w:eastAsia="pt-BR"/>
        </w:rPr>
        <w:t>m</w:t>
      </w:r>
      <w:r w:rsidRPr="00F97E81">
        <w:rPr>
          <w:rFonts w:cstheme="minorHAnsi"/>
          <w:color w:val="FF0000"/>
          <w:lang w:eastAsia="pt-BR"/>
        </w:rPr>
        <w:t xml:space="preserve"> ser </w:t>
      </w:r>
      <w:r>
        <w:rPr>
          <w:rFonts w:cstheme="minorHAnsi"/>
          <w:color w:val="FF0000"/>
          <w:lang w:eastAsia="pt-BR"/>
        </w:rPr>
        <w:t>inform</w:t>
      </w:r>
      <w:r w:rsidR="006A7270">
        <w:rPr>
          <w:rFonts w:cstheme="minorHAnsi"/>
          <w:color w:val="FF0000"/>
          <w:lang w:eastAsia="pt-BR"/>
        </w:rPr>
        <w:t>ados</w:t>
      </w:r>
      <w:r w:rsidRPr="00F97E81">
        <w:rPr>
          <w:rFonts w:cstheme="minorHAnsi"/>
          <w:color w:val="FF0000"/>
          <w:lang w:eastAsia="pt-BR"/>
        </w:rPr>
        <w:t xml:space="preserve">: </w:t>
      </w:r>
    </w:p>
    <w:p w14:paraId="40CC19C2" w14:textId="272254FF"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 Lista 1 dos usuários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regularizados pelo estado até 201</w:t>
      </w:r>
      <w:r w:rsidR="003B6BBC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7104EE82" w14:textId="4BFEA0C8"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 Lista 2 dos usuários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regularizados pelo estado </w:t>
      </w:r>
      <w:r>
        <w:rPr>
          <w:rFonts w:asciiTheme="minorHAnsi" w:hAnsiTheme="minorHAnsi" w:cstheme="minorHAnsi"/>
          <w:color w:val="FF0000"/>
          <w:sz w:val="22"/>
          <w:szCs w:val="22"/>
        </w:rPr>
        <w:t>em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201</w:t>
      </w:r>
      <w:r w:rsidR="003B6BBC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653ED28E" w14:textId="5B3F0B4F"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quantitativo</w:t>
      </w:r>
      <w:r w:rsidRPr="003812A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dos usuários regularizados pelo estado até 201</w:t>
      </w:r>
      <w:r w:rsidR="003B6BBC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6208FFE" w14:textId="031A1B54" w:rsidR="006466AC" w:rsidRPr="003812AA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quantitativo</w:t>
      </w:r>
      <w:r w:rsidRPr="003812A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dos usuários regularizados pelo estado</w:t>
      </w:r>
      <w:r w:rsidR="00F0315F">
        <w:rPr>
          <w:rFonts w:asciiTheme="minorHAnsi" w:hAnsiTheme="minorHAnsi" w:cstheme="minorHAnsi"/>
          <w:color w:val="FF0000"/>
          <w:sz w:val="22"/>
          <w:szCs w:val="22"/>
        </w:rPr>
        <w:t xml:space="preserve"> em 201</w:t>
      </w:r>
      <w:r w:rsidR="003B6BBC">
        <w:rPr>
          <w:rFonts w:asciiTheme="minorHAnsi" w:hAnsiTheme="minorHAnsi" w:cstheme="minorHAnsi"/>
          <w:color w:val="FF0000"/>
          <w:sz w:val="22"/>
          <w:szCs w:val="22"/>
        </w:rPr>
        <w:t>9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A40C729" w14:textId="77777777" w:rsidR="00F0315F" w:rsidRPr="00F0315F" w:rsidRDefault="00F0315F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4225391A" w14:textId="77777777" w:rsidR="006466AC" w:rsidRPr="00F0315F" w:rsidRDefault="006A7270" w:rsidP="003B6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F0315F">
        <w:rPr>
          <w:rFonts w:cstheme="minorHAnsi"/>
          <w:color w:val="FF0000"/>
          <w:lang w:eastAsia="pt-BR"/>
        </w:rPr>
        <w:t xml:space="preserve">As Listas devem ser disponibilizadas em meio digital, em formato </w:t>
      </w:r>
      <w:proofErr w:type="spellStart"/>
      <w:r w:rsidRPr="00F0315F">
        <w:rPr>
          <w:rFonts w:cstheme="minorHAnsi"/>
          <w:color w:val="FF0000"/>
          <w:lang w:eastAsia="pt-BR"/>
        </w:rPr>
        <w:t>xls</w:t>
      </w:r>
      <w:proofErr w:type="spellEnd"/>
      <w:r w:rsidRPr="00F0315F">
        <w:rPr>
          <w:rFonts w:cstheme="minorHAnsi"/>
          <w:color w:val="FF0000"/>
          <w:lang w:eastAsia="pt-BR"/>
        </w:rPr>
        <w:t xml:space="preserve"> ou </w:t>
      </w:r>
      <w:proofErr w:type="spellStart"/>
      <w:r w:rsidRPr="00F0315F">
        <w:rPr>
          <w:rFonts w:cstheme="minorHAnsi"/>
          <w:color w:val="FF0000"/>
          <w:lang w:eastAsia="pt-BR"/>
        </w:rPr>
        <w:t>csv</w:t>
      </w:r>
      <w:proofErr w:type="spellEnd"/>
      <w:r w:rsidRPr="00F0315F">
        <w:rPr>
          <w:rFonts w:cstheme="minorHAnsi"/>
          <w:color w:val="FF0000"/>
          <w:lang w:eastAsia="pt-BR"/>
        </w:rPr>
        <w:t>, conforme modelos enviados nos Informes</w:t>
      </w:r>
      <w:r w:rsidR="00224F4B">
        <w:rPr>
          <w:rFonts w:cstheme="minorHAnsi"/>
          <w:color w:val="FF0000"/>
          <w:lang w:eastAsia="pt-BR"/>
        </w:rPr>
        <w:t>.</w:t>
      </w:r>
    </w:p>
    <w:p w14:paraId="290C5FAE" w14:textId="77777777" w:rsidR="006A7270" w:rsidRDefault="006A7270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BF69C1" w14:textId="77777777" w:rsidR="004239D2" w:rsidRPr="004239D2" w:rsidRDefault="004239D2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São considerados usuários regularizados:</w:t>
      </w:r>
    </w:p>
    <w:p w14:paraId="7C48FF41" w14:textId="77777777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ind w:left="760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 xml:space="preserve">Aqueles que tiveram seus atos de outorga publicados pelo estado; ou </w:t>
      </w:r>
    </w:p>
    <w:p w14:paraId="17756145" w14:textId="18D2D3DD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Aqueles não passíveis de outorga, conforme determinação de um ato do estado, mas que de alguma forma foram analisados</w:t>
      </w:r>
      <w:r w:rsidR="003B6BBC">
        <w:rPr>
          <w:rFonts w:asciiTheme="minorHAnsi" w:hAnsiTheme="minorHAnsi" w:cstheme="minorHAnsi"/>
          <w:color w:val="FF0000"/>
          <w:sz w:val="22"/>
          <w:szCs w:val="22"/>
        </w:rPr>
        <w:t xml:space="preserve"> e regularizados</w:t>
      </w:r>
      <w:r w:rsidRPr="004239D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D2142E6" w14:textId="77777777" w:rsidR="00F97E81" w:rsidRPr="004239D2" w:rsidRDefault="00F97E81" w:rsidP="003812AA">
      <w:pPr>
        <w:spacing w:after="0" w:line="240" w:lineRule="auto"/>
        <w:rPr>
          <w:rFonts w:cstheme="minorHAnsi"/>
          <w:color w:val="FF0000"/>
        </w:rPr>
      </w:pPr>
    </w:p>
    <w:p w14:paraId="5010392F" w14:textId="3FC42084" w:rsidR="00006680" w:rsidRPr="00006680" w:rsidRDefault="00006680" w:rsidP="003812A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lang w:eastAsia="pt-BR"/>
        </w:rPr>
      </w:pPr>
      <w:r w:rsidRPr="00006680">
        <w:rPr>
          <w:rFonts w:cstheme="minorHAnsi"/>
          <w:color w:val="FF0000"/>
          <w:lang w:eastAsia="pt-BR"/>
        </w:rPr>
        <w:t>As notas</w:t>
      </w:r>
      <w:r w:rsidR="006A7270">
        <w:rPr>
          <w:rFonts w:cstheme="minorHAnsi"/>
          <w:color w:val="FF0000"/>
          <w:lang w:eastAsia="pt-BR"/>
        </w:rPr>
        <w:t xml:space="preserve"> de alcance</w:t>
      </w:r>
      <w:r w:rsidRPr="00006680">
        <w:rPr>
          <w:rFonts w:cstheme="minorHAnsi"/>
          <w:color w:val="FF0000"/>
          <w:lang w:eastAsia="pt-BR"/>
        </w:rPr>
        <w:t xml:space="preserve"> serão proporcionais ao total de usuários regularizados</w:t>
      </w:r>
      <w:r w:rsidR="00C463CA">
        <w:rPr>
          <w:rFonts w:cstheme="minorHAnsi"/>
          <w:color w:val="FF0000"/>
          <w:lang w:eastAsia="pt-BR"/>
        </w:rPr>
        <w:t xml:space="preserve"> e</w:t>
      </w:r>
      <w:r w:rsidRPr="00006680">
        <w:rPr>
          <w:rFonts w:cstheme="minorHAnsi"/>
          <w:color w:val="FF0000"/>
          <w:lang w:eastAsia="pt-BR"/>
        </w:rPr>
        <w:t xml:space="preserve"> inseridos no CNARH</w:t>
      </w:r>
      <w:r w:rsidR="00C463CA">
        <w:rPr>
          <w:rFonts w:cstheme="minorHAnsi"/>
          <w:color w:val="FF0000"/>
          <w:lang w:eastAsia="pt-BR"/>
        </w:rPr>
        <w:t xml:space="preserve">, sendo </w:t>
      </w:r>
      <w:r w:rsidRPr="00006680">
        <w:rPr>
          <w:rFonts w:cstheme="minorHAnsi"/>
          <w:color w:val="FF0000"/>
          <w:lang w:eastAsia="pt-BR"/>
        </w:rPr>
        <w:t xml:space="preserve">considerados </w:t>
      </w:r>
      <w:r w:rsidRPr="00F0315F">
        <w:rPr>
          <w:rFonts w:cstheme="minorHAnsi"/>
          <w:color w:val="FF0000"/>
          <w:u w:val="single"/>
          <w:lang w:eastAsia="pt-BR"/>
        </w:rPr>
        <w:t xml:space="preserve">os cadastros finalizados no sistema até </w:t>
      </w:r>
      <w:r w:rsidR="000528D0">
        <w:rPr>
          <w:rFonts w:cstheme="minorHAnsi"/>
          <w:color w:val="FF0000"/>
          <w:u w:val="single"/>
          <w:lang w:eastAsia="pt-BR"/>
        </w:rPr>
        <w:t>31</w:t>
      </w:r>
      <w:r w:rsidRPr="00F0315F">
        <w:rPr>
          <w:rFonts w:cstheme="minorHAnsi"/>
          <w:color w:val="FF0000"/>
          <w:u w:val="single"/>
          <w:lang w:eastAsia="pt-BR"/>
        </w:rPr>
        <w:t xml:space="preserve"> de </w:t>
      </w:r>
      <w:r w:rsidR="003812AA" w:rsidRPr="00F0315F">
        <w:rPr>
          <w:rFonts w:cstheme="minorHAnsi"/>
          <w:color w:val="FF0000"/>
          <w:u w:val="single"/>
          <w:lang w:eastAsia="pt-BR"/>
        </w:rPr>
        <w:t>janei</w:t>
      </w:r>
      <w:r w:rsidRPr="00F0315F">
        <w:rPr>
          <w:rFonts w:cstheme="minorHAnsi"/>
          <w:color w:val="FF0000"/>
          <w:u w:val="single"/>
          <w:lang w:eastAsia="pt-BR"/>
        </w:rPr>
        <w:t>ro de 20</w:t>
      </w:r>
      <w:r w:rsidR="003B6BBC">
        <w:rPr>
          <w:rFonts w:cstheme="minorHAnsi"/>
          <w:color w:val="FF0000"/>
          <w:u w:val="single"/>
          <w:lang w:eastAsia="pt-BR"/>
        </w:rPr>
        <w:t>20</w:t>
      </w:r>
      <w:r w:rsidRPr="00006680">
        <w:rPr>
          <w:rFonts w:cstheme="minorHAnsi"/>
          <w:color w:val="FF0000"/>
          <w:lang w:eastAsia="pt-BR"/>
        </w:rPr>
        <w:t>.</w:t>
      </w:r>
    </w:p>
    <w:p w14:paraId="196EB2CB" w14:textId="77777777" w:rsidR="00006680" w:rsidRDefault="00006680" w:rsidP="003812AA">
      <w:pPr>
        <w:spacing w:after="0" w:line="240" w:lineRule="auto"/>
        <w:rPr>
          <w:rFonts w:cstheme="minorHAnsi"/>
        </w:rPr>
      </w:pPr>
    </w:p>
    <w:p w14:paraId="46CDCCBE" w14:textId="77777777"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14:paraId="60347B4D" w14:textId="77777777" w:rsidR="00FB21E0" w:rsidRPr="001D2A6E" w:rsidRDefault="0017272D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bookmarkStart w:id="0" w:name="_Hlk31359754"/>
      <w:r w:rsidRPr="001D2A6E">
        <w:rPr>
          <w:rFonts w:asciiTheme="minorHAnsi" w:hAnsiTheme="minorHAnsi" w:cstheme="minorHAnsi"/>
          <w:b/>
        </w:rPr>
        <w:lastRenderedPageBreak/>
        <w:t>M</w:t>
      </w:r>
      <w:r w:rsidR="00FB21E0" w:rsidRPr="001D2A6E">
        <w:rPr>
          <w:rFonts w:asciiTheme="minorHAnsi" w:hAnsiTheme="minorHAnsi" w:cstheme="minorHAnsi"/>
          <w:b/>
        </w:rPr>
        <w:t>ETA 1.2 – COMPARTILHAMENTO DE INFORMAÇÕES SOBRE ÁGUAS</w:t>
      </w:r>
      <w:r w:rsidR="001D2A6E" w:rsidRPr="001D2A6E">
        <w:rPr>
          <w:rFonts w:asciiTheme="minorHAnsi" w:hAnsiTheme="minorHAnsi" w:cstheme="minorHAnsi"/>
          <w:b/>
        </w:rPr>
        <w:t xml:space="preserve"> </w:t>
      </w:r>
      <w:r w:rsidR="00FB21E0" w:rsidRPr="001D2A6E">
        <w:rPr>
          <w:rFonts w:asciiTheme="minorHAnsi" w:hAnsiTheme="minorHAnsi" w:cstheme="minorHAnsi"/>
          <w:b/>
        </w:rPr>
        <w:t>SUBTERRÂNEAS</w:t>
      </w:r>
    </w:p>
    <w:p w14:paraId="586B107D" w14:textId="77777777" w:rsidR="00F741B5" w:rsidRPr="00F741B5" w:rsidRDefault="00F741B5" w:rsidP="002C1AF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lang w:eastAsia="pt-BR"/>
        </w:rPr>
      </w:pPr>
      <w:r>
        <w:rPr>
          <w:rFonts w:cstheme="minorHAnsi"/>
          <w:color w:val="FF0000"/>
          <w:lang w:eastAsia="pt-BR"/>
        </w:rPr>
        <w:t>Os estados devem</w:t>
      </w:r>
      <w:r w:rsidR="00D15F2A" w:rsidRPr="00D15F2A">
        <w:rPr>
          <w:rFonts w:cstheme="minorHAnsi"/>
          <w:color w:val="FF0000"/>
          <w:lang w:eastAsia="pt-BR"/>
        </w:rPr>
        <w:t xml:space="preserve"> compartilha</w:t>
      </w:r>
      <w:r>
        <w:rPr>
          <w:rFonts w:cstheme="minorHAnsi"/>
          <w:color w:val="FF0000"/>
          <w:lang w:eastAsia="pt-BR"/>
        </w:rPr>
        <w:t>r</w:t>
      </w:r>
      <w:r w:rsidR="00D15F2A">
        <w:rPr>
          <w:rFonts w:cstheme="minorHAnsi"/>
          <w:color w:val="FF0000"/>
          <w:lang w:eastAsia="pt-BR"/>
        </w:rPr>
        <w:t xml:space="preserve"> </w:t>
      </w:r>
      <w:r w:rsidR="00D15F2A" w:rsidRPr="00D15F2A">
        <w:rPr>
          <w:rFonts w:cstheme="minorHAnsi"/>
          <w:color w:val="FF0000"/>
          <w:lang w:eastAsia="pt-BR"/>
        </w:rPr>
        <w:t>informações</w:t>
      </w:r>
      <w:r>
        <w:rPr>
          <w:rFonts w:cstheme="minorHAnsi"/>
          <w:color w:val="FF0000"/>
          <w:lang w:eastAsia="pt-BR"/>
        </w:rPr>
        <w:t>,</w:t>
      </w:r>
      <w:r w:rsidR="00D15F2A" w:rsidRPr="00D15F2A">
        <w:rPr>
          <w:rFonts w:cstheme="minorHAnsi"/>
          <w:color w:val="FF0000"/>
          <w:lang w:eastAsia="pt-BR"/>
        </w:rPr>
        <w:t xml:space="preserve"> no âmbito do SNIRH, sobre </w:t>
      </w:r>
      <w:r w:rsidRPr="00F741B5">
        <w:rPr>
          <w:rFonts w:cstheme="minorHAnsi"/>
          <w:color w:val="FF0000"/>
          <w:lang w:eastAsia="pt-BR"/>
        </w:rPr>
        <w:t>autorizações administrativas para o uso de águas subterrânea</w:t>
      </w:r>
      <w:r w:rsidR="00D80B99">
        <w:rPr>
          <w:rFonts w:cstheme="minorHAnsi"/>
          <w:color w:val="FF0000"/>
          <w:lang w:eastAsia="pt-BR"/>
        </w:rPr>
        <w:t>s, em suas diversas modalidades</w:t>
      </w:r>
      <w:r w:rsidRPr="00F741B5">
        <w:rPr>
          <w:rFonts w:cstheme="minorHAnsi"/>
          <w:color w:val="FF0000"/>
          <w:lang w:eastAsia="pt-BR"/>
        </w:rPr>
        <w:t xml:space="preserve"> </w:t>
      </w:r>
      <w:r w:rsidR="00D80B99">
        <w:rPr>
          <w:rFonts w:cstheme="minorHAnsi"/>
          <w:color w:val="FF0000"/>
          <w:lang w:eastAsia="pt-BR"/>
        </w:rPr>
        <w:t>(</w:t>
      </w:r>
      <w:r w:rsidRPr="00F741B5">
        <w:rPr>
          <w:rFonts w:cstheme="minorHAnsi"/>
          <w:color w:val="FF0000"/>
          <w:lang w:eastAsia="pt-BR"/>
        </w:rPr>
        <w:t>outorga, uso insignificante, licenciamento, cadastro de poços, entre outras</w:t>
      </w:r>
      <w:r w:rsidR="00D80B99">
        <w:rPr>
          <w:rFonts w:cstheme="minorHAnsi"/>
          <w:color w:val="FF0000"/>
          <w:lang w:eastAsia="pt-BR"/>
        </w:rPr>
        <w:t>)</w:t>
      </w:r>
      <w:r w:rsidRPr="00F741B5">
        <w:rPr>
          <w:rFonts w:cstheme="minorHAnsi"/>
          <w:color w:val="FF0000"/>
          <w:lang w:eastAsia="pt-BR"/>
        </w:rPr>
        <w:t>:</w:t>
      </w:r>
    </w:p>
    <w:p w14:paraId="1E646B3F" w14:textId="77777777" w:rsidR="00905519" w:rsidRPr="00F741B5" w:rsidRDefault="00905519" w:rsidP="0090551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F741B5">
        <w:rPr>
          <w:rFonts w:asciiTheme="minorHAnsi" w:hAnsiTheme="minorHAnsi" w:cstheme="minorHAnsi"/>
          <w:color w:val="FF0000"/>
          <w:sz w:val="22"/>
          <w:szCs w:val="22"/>
        </w:rPr>
        <w:t>Por digitação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 xml:space="preserve"> direta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dos dados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na 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>plataforma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do CNARH 40</w:t>
      </w:r>
      <w:r w:rsidR="00E72260">
        <w:rPr>
          <w:rFonts w:asciiTheme="minorHAnsi" w:hAnsiTheme="minorHAnsi" w:cstheme="minorHAnsi"/>
          <w:color w:val="FF0000"/>
          <w:sz w:val="22"/>
          <w:szCs w:val="22"/>
        </w:rPr>
        <w:t>/SNIRH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; ou </w:t>
      </w:r>
    </w:p>
    <w:p w14:paraId="0D730F94" w14:textId="77777777" w:rsidR="00F741B5" w:rsidRPr="000528D0" w:rsidRDefault="00905519" w:rsidP="000528D0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Pela carga de dados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no CNARH</w:t>
      </w:r>
      <w:r w:rsid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>40</w:t>
      </w:r>
      <w:r w:rsid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por intermédio de </w:t>
      </w:r>
      <w:r>
        <w:rPr>
          <w:rFonts w:asciiTheme="minorHAnsi" w:hAnsiTheme="minorHAnsi" w:cstheme="minorHAnsi"/>
          <w:color w:val="FF0000"/>
          <w:sz w:val="22"/>
          <w:szCs w:val="22"/>
        </w:rPr>
        <w:t>planilha modelo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 xml:space="preserve"> formato </w:t>
      </w:r>
      <w:proofErr w:type="spellStart"/>
      <w:r w:rsidR="000528D0">
        <w:rPr>
          <w:rFonts w:asciiTheme="minorHAnsi" w:hAnsiTheme="minorHAnsi" w:cstheme="minorHAnsi"/>
          <w:color w:val="FF0000"/>
          <w:sz w:val="22"/>
          <w:szCs w:val="22"/>
        </w:rPr>
        <w:t>csv</w:t>
      </w:r>
      <w:proofErr w:type="spellEnd"/>
      <w:r w:rsidR="00E7226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0528D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2296361" w14:textId="77777777" w:rsidR="00F741B5" w:rsidRPr="006073D1" w:rsidRDefault="00F741B5" w:rsidP="0060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6"/>
          <w:szCs w:val="16"/>
          <w:lang w:eastAsia="pt-BR"/>
        </w:rPr>
      </w:pPr>
    </w:p>
    <w:p w14:paraId="58D64612" w14:textId="19489E04" w:rsidR="00806C40" w:rsidRDefault="00406F81" w:rsidP="00696335">
      <w:pPr>
        <w:autoSpaceDE w:val="0"/>
        <w:autoSpaceDN w:val="0"/>
        <w:adjustRightInd w:val="0"/>
        <w:spacing w:after="18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 xml:space="preserve">Para a comprovação desta meta </w:t>
      </w:r>
      <w:r>
        <w:rPr>
          <w:rFonts w:cstheme="minorHAnsi"/>
          <w:color w:val="FF0000"/>
          <w:lang w:eastAsia="pt-BR"/>
        </w:rPr>
        <w:t>c</w:t>
      </w:r>
      <w:r w:rsidR="00806C40" w:rsidRPr="00806C40">
        <w:rPr>
          <w:rFonts w:cstheme="minorHAnsi"/>
          <w:color w:val="FF0000"/>
          <w:lang w:eastAsia="pt-BR"/>
        </w:rPr>
        <w:t>ada entidade estadual deverá carregar no sistema</w:t>
      </w:r>
      <w:r w:rsidR="00806C40">
        <w:rPr>
          <w:rFonts w:cstheme="minorHAnsi"/>
          <w:color w:val="FF0000"/>
          <w:lang w:eastAsia="pt-BR"/>
        </w:rPr>
        <w:t>:</w:t>
      </w:r>
    </w:p>
    <w:tbl>
      <w:tblPr>
        <w:tblStyle w:val="Tabelacomgrad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0"/>
        <w:gridCol w:w="6320"/>
        <w:gridCol w:w="2609"/>
      </w:tblGrid>
      <w:tr w:rsidR="002C1AFA" w:rsidRPr="002A78EC" w14:paraId="46A0F7DA" w14:textId="4CAE2284" w:rsidTr="001C0A37">
        <w:trPr>
          <w:jc w:val="center"/>
        </w:trPr>
        <w:tc>
          <w:tcPr>
            <w:tcW w:w="710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F4B0578" w14:textId="77777777" w:rsidR="002C1AFA" w:rsidRPr="002A78EC" w:rsidRDefault="002C1AFA" w:rsidP="006963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theme="minorHAnsi"/>
                <w:b/>
                <w:lang w:eastAsia="pt-BR"/>
              </w:rPr>
            </w:pPr>
            <w:r>
              <w:rPr>
                <w:rFonts w:ascii="Arial Narrow" w:hAnsi="Arial Narrow" w:cstheme="minorHAnsi"/>
                <w:b/>
                <w:lang w:eastAsia="pt-BR"/>
              </w:rPr>
              <w:t>UF</w:t>
            </w:r>
          </w:p>
        </w:tc>
        <w:tc>
          <w:tcPr>
            <w:tcW w:w="6320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C1D99C4" w14:textId="77777777" w:rsidR="002C1AFA" w:rsidRPr="002A78EC" w:rsidRDefault="002C1AFA" w:rsidP="00E84C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theme="minorHAnsi"/>
                <w:b/>
                <w:lang w:eastAsia="pt-BR"/>
              </w:rPr>
            </w:pPr>
            <w:r w:rsidRPr="002A78EC">
              <w:rPr>
                <w:rFonts w:ascii="Arial Narrow" w:hAnsi="Arial Narrow" w:cstheme="minorHAnsi"/>
                <w:b/>
                <w:lang w:eastAsia="pt-BR"/>
              </w:rPr>
              <w:t>Quantidade</w:t>
            </w:r>
          </w:p>
        </w:tc>
        <w:tc>
          <w:tcPr>
            <w:tcW w:w="260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6EF8DF" w14:textId="38CD57DF" w:rsidR="002C1AFA" w:rsidRPr="002A78EC" w:rsidRDefault="002C1AFA" w:rsidP="00E84C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theme="minorHAnsi"/>
                <w:b/>
                <w:lang w:eastAsia="pt-BR"/>
              </w:rPr>
            </w:pPr>
            <w:r>
              <w:rPr>
                <w:rFonts w:ascii="Arial Narrow" w:hAnsi="Arial Narrow" w:cstheme="minorHAnsi"/>
                <w:b/>
                <w:lang w:eastAsia="pt-BR"/>
              </w:rPr>
              <w:t>Prazo</w:t>
            </w:r>
          </w:p>
        </w:tc>
      </w:tr>
      <w:tr w:rsidR="002C1AFA" w:rsidRPr="002A78EC" w14:paraId="567852A0" w14:textId="6F4E5176" w:rsidTr="001C0A37">
        <w:trPr>
          <w:trHeight w:val="491"/>
          <w:jc w:val="center"/>
        </w:trPr>
        <w:tc>
          <w:tcPr>
            <w:tcW w:w="710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AFBFC1F" w14:textId="77777777" w:rsidR="002C1AFA" w:rsidRPr="004A00E6" w:rsidRDefault="002C1AFA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AP</w:t>
            </w:r>
          </w:p>
        </w:tc>
        <w:tc>
          <w:tcPr>
            <w:tcW w:w="6320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0040D20" w14:textId="0D15F7B6" w:rsidR="002C1AFA" w:rsidRPr="00696335" w:rsidRDefault="002C1AFA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os poços regularizados em 2019 </w:t>
            </w:r>
          </w:p>
        </w:tc>
        <w:tc>
          <w:tcPr>
            <w:tcW w:w="2609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2A97FC87" w14:textId="3D4C3BC1" w:rsidR="002C1AFA" w:rsidRDefault="002C1AFA" w:rsidP="002C1AFA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Até 31/01/2020</w:t>
            </w:r>
          </w:p>
        </w:tc>
      </w:tr>
      <w:tr w:rsidR="002C1AFA" w:rsidRPr="002A78EC" w14:paraId="41B6628D" w14:textId="23BF86CF" w:rsidTr="001C0A37">
        <w:trPr>
          <w:trHeight w:val="571"/>
          <w:jc w:val="center"/>
        </w:trPr>
        <w:tc>
          <w:tcPr>
            <w:tcW w:w="71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106A156" w14:textId="77777777" w:rsidR="002C1AFA" w:rsidRPr="004A00E6" w:rsidRDefault="002C1AFA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DF</w:t>
            </w:r>
          </w:p>
        </w:tc>
        <w:tc>
          <w:tcPr>
            <w:tcW w:w="63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7B686C7" w14:textId="77777777" w:rsidR="002C1AFA" w:rsidRPr="002C1AFA" w:rsidRDefault="002C1AFA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2019</w:t>
            </w:r>
          </w:p>
          <w:p w14:paraId="774F8BE2" w14:textId="4E80CA49" w:rsidR="002C1AFA" w:rsidRPr="004A00E6" w:rsidRDefault="002C1AFA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250 poços regularizados até 2018</w:t>
            </w:r>
          </w:p>
        </w:tc>
        <w:tc>
          <w:tcPr>
            <w:tcW w:w="2609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05A37CC8" w14:textId="77777777" w:rsidR="002C1AFA" w:rsidRDefault="002C1AFA" w:rsidP="002C1AFA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C1AFA" w:rsidRPr="002A78EC" w14:paraId="7C105634" w14:textId="6BF6C65E" w:rsidTr="001C0A37">
        <w:trPr>
          <w:trHeight w:val="393"/>
          <w:jc w:val="center"/>
        </w:trPr>
        <w:tc>
          <w:tcPr>
            <w:tcW w:w="710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EF8209" w14:textId="77777777" w:rsidR="002C1AFA" w:rsidRPr="004A00E6" w:rsidRDefault="002C1AFA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SP</w:t>
            </w:r>
          </w:p>
        </w:tc>
        <w:tc>
          <w:tcPr>
            <w:tcW w:w="6320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5C3955" w14:textId="704D6BBB" w:rsidR="002C1AFA" w:rsidRPr="002C1AFA" w:rsidRDefault="002C1AFA" w:rsidP="002C1AFA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6.208</w:t>
            </w:r>
            <w:r w:rsidRPr="002C1AFA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poços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24E973" w14:textId="622AFDA4" w:rsidR="002C1AFA" w:rsidRDefault="002C1AFA" w:rsidP="002C1AFA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Até 28/02/2020</w:t>
            </w:r>
            <w:r w:rsidR="00067890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</w:t>
            </w:r>
          </w:p>
        </w:tc>
      </w:tr>
    </w:tbl>
    <w:p w14:paraId="68519C58" w14:textId="7A4067C6" w:rsidR="001C0A37" w:rsidRPr="00067890" w:rsidRDefault="00067890" w:rsidP="00067890">
      <w:pPr>
        <w:spacing w:before="60" w:after="0" w:line="240" w:lineRule="auto"/>
        <w:rPr>
          <w:rFonts w:cstheme="minorHAnsi"/>
          <w:color w:val="595959" w:themeColor="text1" w:themeTint="A6"/>
          <w:sz w:val="21"/>
          <w:szCs w:val="21"/>
        </w:rPr>
      </w:pPr>
      <w:r w:rsidRPr="00067890">
        <w:rPr>
          <w:rFonts w:cstheme="minorHAnsi"/>
          <w:color w:val="595959" w:themeColor="text1" w:themeTint="A6"/>
          <w:sz w:val="21"/>
          <w:szCs w:val="21"/>
        </w:rPr>
        <w:t>* Pactuado por e-mail</w:t>
      </w:r>
      <w:r>
        <w:rPr>
          <w:rFonts w:cstheme="minorHAnsi"/>
          <w:color w:val="595959" w:themeColor="text1" w:themeTint="A6"/>
          <w:sz w:val="21"/>
          <w:szCs w:val="21"/>
        </w:rPr>
        <w:t xml:space="preserve"> (Doc. próton nº 004978/2020)</w:t>
      </w:r>
      <w:r w:rsidRPr="00067890">
        <w:rPr>
          <w:rFonts w:cstheme="minorHAnsi"/>
          <w:color w:val="595959" w:themeColor="text1" w:themeTint="A6"/>
          <w:sz w:val="21"/>
          <w:szCs w:val="21"/>
        </w:rPr>
        <w:t>.</w:t>
      </w:r>
    </w:p>
    <w:p w14:paraId="23FD3598" w14:textId="77777777" w:rsidR="00067890" w:rsidRDefault="00067890" w:rsidP="00067890">
      <w:pPr>
        <w:spacing w:after="0" w:line="240" w:lineRule="auto"/>
        <w:rPr>
          <w:rFonts w:cstheme="minorHAnsi"/>
          <w:color w:val="595959" w:themeColor="text1" w:themeTint="A6"/>
        </w:rPr>
      </w:pPr>
    </w:p>
    <w:bookmarkEnd w:id="0"/>
    <w:p w14:paraId="079BC35C" w14:textId="2418D935" w:rsidR="009E63E8" w:rsidRDefault="009E63E8" w:rsidP="009E63E8">
      <w:pPr>
        <w:spacing w:after="240" w:line="240" w:lineRule="auto"/>
        <w:rPr>
          <w:rFonts w:cstheme="minorHAnsi"/>
          <w:i/>
          <w:color w:val="595959" w:themeColor="text1" w:themeTint="A6"/>
        </w:rPr>
      </w:pPr>
      <w:r w:rsidRPr="009E63E8">
        <w:rPr>
          <w:rFonts w:cstheme="minorHAnsi"/>
          <w:color w:val="595959" w:themeColor="text1" w:themeTint="A6"/>
        </w:rPr>
        <w:br w:type="page"/>
      </w:r>
    </w:p>
    <w:p w14:paraId="7DA265A7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1.3 – CONTRIBUIÇÃO PARA DIFUSÃO DO CONHECIMENTO</w:t>
      </w:r>
    </w:p>
    <w:p w14:paraId="5A22B193" w14:textId="0A0116B7" w:rsidR="00C90418" w:rsidRDefault="00FB21E0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Comprovar </w:t>
      </w:r>
      <w:r w:rsidR="00C92ACE"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envio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 w:rsidRPr="001D2A6E">
        <w:rPr>
          <w:rFonts w:asciiTheme="minorHAnsi" w:hAnsiTheme="minorHAnsi" w:cstheme="minorHAnsi"/>
          <w:color w:val="FF0000"/>
          <w:sz w:val="22"/>
          <w:szCs w:val="22"/>
        </w:rPr>
        <w:t>de informações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>
        <w:rPr>
          <w:rFonts w:asciiTheme="minorHAnsi" w:hAnsiTheme="minorHAnsi" w:cstheme="minorHAnsi"/>
          <w:color w:val="FF0000"/>
          <w:sz w:val="22"/>
          <w:szCs w:val="22"/>
        </w:rPr>
        <w:t>no formato definido,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>até 1</w:t>
      </w:r>
      <w:r w:rsidR="00E72260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r w:rsidR="007F00A0">
        <w:rPr>
          <w:rFonts w:asciiTheme="minorHAnsi" w:hAnsiTheme="minorHAnsi" w:cstheme="minorHAnsi"/>
          <w:b/>
          <w:color w:val="FF0000"/>
          <w:sz w:val="22"/>
          <w:szCs w:val="22"/>
        </w:rPr>
        <w:t>feverei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>ro de 201</w:t>
      </w:r>
      <w:r w:rsidR="007F00A0"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sobre a situação da gestão das águas para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subsidiar o Relatório “Conjuntura dos Recursos Hídricos”, publicado anualmente pela ANA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, em atenção ao Ofício </w:t>
      </w:r>
      <w:r w:rsidR="005831B6">
        <w:rPr>
          <w:rFonts w:asciiTheme="minorHAnsi" w:hAnsiTheme="minorHAnsi" w:cstheme="minorHAnsi"/>
          <w:color w:val="FF0000"/>
          <w:sz w:val="22"/>
          <w:szCs w:val="22"/>
        </w:rPr>
        <w:t>encaminhado pel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a Superintendência de Planejamento de Recursos Hídricos (SPR</w:t>
      </w:r>
      <w:r w:rsidR="00E66974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D27B7A" w:rsidRPr="001D2A6E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Poderão ser aceitas lacunas de informação desde que devidamente justificadas.</w:t>
      </w:r>
    </w:p>
    <w:p w14:paraId="000342A0" w14:textId="77777777" w:rsidR="002F5D12" w:rsidRDefault="002F5D12" w:rsidP="00E66974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181FAF05" w14:textId="77777777" w:rsidR="00284047" w:rsidRPr="001D2A6E" w:rsidRDefault="00284047">
      <w:pPr>
        <w:rPr>
          <w:rFonts w:cstheme="minorHAnsi"/>
          <w:b/>
          <w:lang w:eastAsia="pt-BR"/>
        </w:rPr>
      </w:pPr>
      <w:r w:rsidRPr="001D2A6E">
        <w:rPr>
          <w:rFonts w:cstheme="minorHAnsi"/>
          <w:b/>
        </w:rPr>
        <w:br w:type="page"/>
      </w:r>
    </w:p>
    <w:p w14:paraId="128A23D2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1.4 – PREVENÇÃO DE EVENTOS HIDROLÓGICOS CRÍTICOS</w:t>
      </w:r>
    </w:p>
    <w:p w14:paraId="588CD7C9" w14:textId="77777777" w:rsidR="00C92ACE" w:rsidRDefault="009F6FD4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9F6FD4">
        <w:rPr>
          <w:rFonts w:cstheme="minorHAnsi"/>
          <w:color w:val="FF0000"/>
          <w:lang w:eastAsia="pt-BR"/>
        </w:rPr>
        <w:t>Para</w:t>
      </w:r>
      <w:r>
        <w:rPr>
          <w:rFonts w:cstheme="minorHAnsi"/>
          <w:color w:val="FF0000"/>
          <w:lang w:eastAsia="pt-BR"/>
        </w:rPr>
        <w:t xml:space="preserve"> comprovar</w:t>
      </w:r>
      <w:r w:rsidRPr="009F6FD4">
        <w:rPr>
          <w:rFonts w:cstheme="minorHAnsi"/>
          <w:color w:val="FF0000"/>
          <w:lang w:eastAsia="pt-BR"/>
        </w:rPr>
        <w:t xml:space="preserve"> o cumprimento desta meta é necessário que o estado opere adequadamente os sistemas de prevenção de eventos críticos, com o funcionamento apropriado dos equipamentos automáticos de coleta e transmissão de dados hidrológicos (correspondente a 50% do valor da meta), bem como pela disponibilização de informações aos órgãos competentes (outros 50% da meta).</w:t>
      </w:r>
    </w:p>
    <w:p w14:paraId="2E3F2DD3" w14:textId="77777777" w:rsidR="003A50A2" w:rsidRPr="009F6FD4" w:rsidRDefault="003A50A2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</w:p>
    <w:p w14:paraId="48CDB3BF" w14:textId="4DD82D0D" w:rsidR="007024DA" w:rsidRDefault="001C1089" w:rsidP="001C108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O</w:t>
      </w:r>
      <w:r w:rsidR="007024DA">
        <w:rPr>
          <w:rFonts w:cstheme="minorHAnsi"/>
          <w:color w:val="FF0000"/>
        </w:rPr>
        <w:t>s estados</w:t>
      </w:r>
      <w:r>
        <w:rPr>
          <w:rFonts w:cstheme="minorHAnsi"/>
          <w:color w:val="FF0000"/>
        </w:rPr>
        <w:t xml:space="preserve"> com </w:t>
      </w:r>
      <w:r w:rsidR="00AF0509">
        <w:rPr>
          <w:rFonts w:cstheme="minorHAnsi"/>
          <w:b/>
          <w:color w:val="FF0000"/>
        </w:rPr>
        <w:t>5</w:t>
      </w:r>
      <w:r w:rsidRPr="001C1089">
        <w:rPr>
          <w:rFonts w:cstheme="minorHAnsi"/>
          <w:b/>
          <w:color w:val="FF0000"/>
        </w:rPr>
        <w:t>º período de certificação</w:t>
      </w:r>
      <w:r>
        <w:rPr>
          <w:rFonts w:cstheme="minorHAnsi"/>
          <w:color w:val="FF0000"/>
        </w:rPr>
        <w:t xml:space="preserve"> no ano de 201</w:t>
      </w:r>
      <w:r w:rsidR="00821752">
        <w:rPr>
          <w:rFonts w:cstheme="minorHAnsi"/>
          <w:color w:val="FF0000"/>
        </w:rPr>
        <w:t>9</w:t>
      </w:r>
      <w:r>
        <w:rPr>
          <w:rFonts w:cstheme="minorHAnsi"/>
          <w:color w:val="FF0000"/>
        </w:rPr>
        <w:t xml:space="preserve"> deverão</w:t>
      </w:r>
      <w:r w:rsidR="007024DA">
        <w:rPr>
          <w:rFonts w:cstheme="minorHAnsi"/>
          <w:color w:val="FF0000"/>
        </w:rPr>
        <w:t xml:space="preserve"> </w:t>
      </w:r>
      <w:r w:rsidR="007024DA" w:rsidRPr="007024DA">
        <w:rPr>
          <w:rFonts w:cstheme="minorHAnsi"/>
          <w:color w:val="FF0000"/>
        </w:rPr>
        <w:t>encaminhar um “</w:t>
      </w:r>
      <w:r w:rsidR="007024DA" w:rsidRPr="001C1089">
        <w:rPr>
          <w:rFonts w:cstheme="minorHAnsi"/>
          <w:b/>
          <w:color w:val="FF0000"/>
        </w:rPr>
        <w:t>Relatório de Consolidação dos Boletins Diários da Sala de Situação</w:t>
      </w:r>
      <w:r w:rsidR="007024DA" w:rsidRPr="007024DA">
        <w:rPr>
          <w:rFonts w:cstheme="minorHAnsi"/>
          <w:color w:val="FF0000"/>
        </w:rPr>
        <w:t>”</w:t>
      </w:r>
      <w:r w:rsidR="007024DA">
        <w:rPr>
          <w:rFonts w:cstheme="minorHAnsi"/>
          <w:color w:val="FF0000"/>
        </w:rPr>
        <w:t xml:space="preserve"> </w:t>
      </w:r>
      <w:r w:rsidR="003A50A2">
        <w:rPr>
          <w:rFonts w:cstheme="minorHAnsi"/>
          <w:color w:val="FF0000"/>
        </w:rPr>
        <w:t>contendo</w:t>
      </w:r>
      <w:r>
        <w:rPr>
          <w:rFonts w:cstheme="minorHAnsi"/>
          <w:color w:val="FF0000"/>
        </w:rPr>
        <w:t>:</w:t>
      </w:r>
    </w:p>
    <w:p w14:paraId="167573CA" w14:textId="6F2E9AEB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 modelo do(s) boletim(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ns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que foi(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ram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produzido(s) durante o ano de 201</w:t>
      </w:r>
      <w:r w:rsidR="00821752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Pr="001C1089">
        <w:rPr>
          <w:rFonts w:asciiTheme="minorHAnsi" w:hAnsiTheme="minorHAnsi" w:cstheme="minorHAnsi"/>
          <w:color w:val="FF0000"/>
          <w:sz w:val="22"/>
          <w:szCs w:val="22"/>
        </w:rPr>
        <w:t>, inclusive sobre eventuais eventos críticos ocorridos;</w:t>
      </w:r>
    </w:p>
    <w:p w14:paraId="32E7D836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A indicação da quantidade de dias de produção de cada boletim;</w:t>
      </w:r>
    </w:p>
    <w:p w14:paraId="035E6291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Se houve ou não publicação em website e, em caso afirmativo, informar o endereço eletrônico; e</w:t>
      </w:r>
    </w:p>
    <w:p w14:paraId="56F80B13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Os órgãos que receberam os referidos boletins.</w:t>
      </w:r>
    </w:p>
    <w:p w14:paraId="04CDACCD" w14:textId="77777777" w:rsidR="001C1089" w:rsidRDefault="001C1089" w:rsidP="001C1089">
      <w:pPr>
        <w:pStyle w:val="PargrafodaLista"/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cstheme="minorHAnsi"/>
          <w:color w:val="FF0000"/>
        </w:rPr>
      </w:pPr>
    </w:p>
    <w:p w14:paraId="616AE03B" w14:textId="3B42535C" w:rsidR="00FB21E0" w:rsidRDefault="00E72260" w:rsidP="0085513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É</w:t>
      </w:r>
      <w:r w:rsidR="00855130" w:rsidRPr="00855130">
        <w:rPr>
          <w:rFonts w:cstheme="minorHAnsi"/>
          <w:color w:val="FF0000"/>
        </w:rPr>
        <w:t xml:space="preserve"> também necessário que o desempenho na transmissão e disponibilização de dados telemétricos das Plataformas de Coleta de Dados (PCDs) relacionadas à Sala de Situação esteja adequado, garantindo um Índice de Transmissão e Disponibilização de Dados Telemétricos (</w:t>
      </w:r>
      <w:r w:rsidR="00855130" w:rsidRPr="001C1089">
        <w:rPr>
          <w:rFonts w:cstheme="minorHAnsi"/>
          <w:b/>
          <w:color w:val="FF0000"/>
        </w:rPr>
        <w:t>ITD</w:t>
      </w:r>
      <w:r w:rsidR="00855130" w:rsidRPr="00855130">
        <w:rPr>
          <w:rFonts w:cstheme="minorHAnsi"/>
          <w:color w:val="FF0000"/>
        </w:rPr>
        <w:t xml:space="preserve">) </w:t>
      </w:r>
      <w:r w:rsidR="00855130" w:rsidRPr="001C1089">
        <w:rPr>
          <w:rFonts w:cstheme="minorHAnsi"/>
          <w:b/>
          <w:color w:val="FF0000"/>
        </w:rPr>
        <w:t>maior ou igual a 80%</w:t>
      </w:r>
      <w:r w:rsidR="00855130" w:rsidRPr="00855130">
        <w:rPr>
          <w:rFonts w:cstheme="minorHAnsi"/>
          <w:color w:val="FF0000"/>
        </w:rPr>
        <w:t xml:space="preserve">. Para aferir o adequado desempenho na transmissão e disponibilização de dados telemétricos, a área competente da ANA desenvolveu um aplicativo WEB para cálculo do ITD, relacionado ao cumprimento da meta. Tal aplicativo também é disponibilizado aos estados por meio do endereço </w:t>
      </w:r>
      <w:hyperlink r:id="rId8" w:history="1">
        <w:r w:rsidR="00855130" w:rsidRPr="00855130">
          <w:rPr>
            <w:rStyle w:val="Hyperlink"/>
            <w:rFonts w:cstheme="minorHAnsi"/>
          </w:rPr>
          <w:t>http://gestorpcd.ana.gov.br</w:t>
        </w:r>
      </w:hyperlink>
      <w:r w:rsidR="0064440B">
        <w:rPr>
          <w:rStyle w:val="Hyperlink"/>
          <w:rFonts w:cstheme="minorHAnsi"/>
        </w:rPr>
        <w:t>.</w:t>
      </w:r>
      <w:r w:rsidR="00855130" w:rsidRPr="00855130">
        <w:rPr>
          <w:rFonts w:cstheme="minorHAnsi"/>
          <w:color w:val="FF0000"/>
        </w:rPr>
        <w:t xml:space="preserve"> </w:t>
      </w:r>
      <w:r w:rsidR="00855130">
        <w:rPr>
          <w:rFonts w:cstheme="minorHAnsi"/>
          <w:color w:val="FF0000"/>
        </w:rPr>
        <w:t>O</w:t>
      </w:r>
      <w:r w:rsidR="00855130" w:rsidRPr="00855130">
        <w:rPr>
          <w:rFonts w:cstheme="minorHAnsi"/>
          <w:color w:val="FF0000"/>
        </w:rPr>
        <w:t>s ín</w:t>
      </w:r>
      <w:r w:rsidR="00855130">
        <w:rPr>
          <w:rFonts w:cstheme="minorHAnsi"/>
          <w:color w:val="FF0000"/>
        </w:rPr>
        <w:t>dices referentes ao ano de 201</w:t>
      </w:r>
      <w:r w:rsidR="00821752">
        <w:rPr>
          <w:rFonts w:cstheme="minorHAnsi"/>
          <w:color w:val="FF0000"/>
        </w:rPr>
        <w:t>9</w:t>
      </w:r>
      <w:r w:rsidR="00855130" w:rsidRPr="00855130">
        <w:rPr>
          <w:rFonts w:cstheme="minorHAnsi"/>
          <w:color w:val="FF0000"/>
        </w:rPr>
        <w:t xml:space="preserve"> serão calculados pela</w:t>
      </w:r>
      <w:r w:rsidR="00855130">
        <w:rPr>
          <w:rFonts w:cstheme="minorHAnsi"/>
          <w:color w:val="FF0000"/>
        </w:rPr>
        <w:t xml:space="preserve"> própria área competente da ANA</w:t>
      </w:r>
      <w:r w:rsidR="00FB21E0" w:rsidRPr="00855130">
        <w:rPr>
          <w:rFonts w:cstheme="minorHAnsi"/>
          <w:color w:val="FF0000"/>
        </w:rPr>
        <w:t>.</w:t>
      </w:r>
    </w:p>
    <w:p w14:paraId="5C291445" w14:textId="77777777" w:rsidR="00A470B1" w:rsidRDefault="00A470B1" w:rsidP="00A470B1">
      <w:pPr>
        <w:pStyle w:val="PargrafodaLista"/>
        <w:autoSpaceDE w:val="0"/>
        <w:autoSpaceDN w:val="0"/>
        <w:adjustRightInd w:val="0"/>
        <w:spacing w:after="60" w:line="240" w:lineRule="auto"/>
        <w:ind w:left="425"/>
        <w:contextualSpacing w:val="0"/>
        <w:jc w:val="both"/>
        <w:rPr>
          <w:rFonts w:cstheme="minorHAnsi"/>
          <w:color w:val="FF0000"/>
        </w:rPr>
      </w:pPr>
    </w:p>
    <w:p w14:paraId="2EFB76EE" w14:textId="30808F79" w:rsidR="00FE7D1C" w:rsidRPr="00A470B1" w:rsidRDefault="00FE7D1C" w:rsidP="00A470B1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="Calibri"/>
          <w:color w:val="FF0000"/>
        </w:rPr>
      </w:pPr>
      <w:r w:rsidRPr="00A470B1">
        <w:rPr>
          <w:rFonts w:cstheme="minorHAnsi"/>
          <w:color w:val="FF0000"/>
        </w:rPr>
        <w:t xml:space="preserve">Segundo Informe </w:t>
      </w:r>
      <w:r w:rsidR="00821752">
        <w:rPr>
          <w:rFonts w:cstheme="minorHAnsi"/>
          <w:color w:val="FF0000"/>
        </w:rPr>
        <w:t>02</w:t>
      </w:r>
      <w:r w:rsidRPr="00A470B1">
        <w:rPr>
          <w:rFonts w:cstheme="minorHAnsi"/>
          <w:color w:val="FF0000"/>
        </w:rPr>
        <w:t>/201</w:t>
      </w:r>
      <w:r w:rsidR="00821752">
        <w:rPr>
          <w:rFonts w:cstheme="minorHAnsi"/>
          <w:color w:val="FF0000"/>
        </w:rPr>
        <w:t>9</w:t>
      </w:r>
      <w:r w:rsidRPr="00A470B1">
        <w:rPr>
          <w:rFonts w:cstheme="minorHAnsi"/>
          <w:color w:val="FF0000"/>
        </w:rPr>
        <w:t xml:space="preserve"> é recomendável o envio de relato consolidado das inspeções realizadas por ocasião das manutenções corretivas</w:t>
      </w:r>
      <w:r w:rsidR="00A470B1">
        <w:rPr>
          <w:rFonts w:cstheme="minorHAnsi"/>
          <w:color w:val="FF0000"/>
        </w:rPr>
        <w:t>. Neste caso</w:t>
      </w:r>
      <w:r w:rsidR="00A470B1" w:rsidRPr="00A470B1">
        <w:rPr>
          <w:rFonts w:cstheme="minorHAnsi"/>
          <w:color w:val="FF0000"/>
        </w:rPr>
        <w:t xml:space="preserve"> </w:t>
      </w:r>
      <w:r w:rsidR="00A470B1" w:rsidRPr="00A470B1">
        <w:rPr>
          <w:rFonts w:ascii="Calibri" w:hAnsi="Calibri" w:cs="Calibri"/>
          <w:color w:val="FF0000"/>
        </w:rPr>
        <w:t>encaminha</w:t>
      </w:r>
      <w:r w:rsidR="00A470B1">
        <w:rPr>
          <w:rFonts w:ascii="Calibri" w:hAnsi="Calibri" w:cs="Calibri"/>
          <w:color w:val="FF0000"/>
        </w:rPr>
        <w:t>r para a</w:t>
      </w:r>
      <w:r w:rsidR="00A470B1" w:rsidRPr="00A470B1">
        <w:rPr>
          <w:rFonts w:ascii="Calibri" w:hAnsi="Calibri" w:cs="Calibri"/>
          <w:color w:val="FF0000"/>
        </w:rPr>
        <w:t xml:space="preserve"> ANA</w:t>
      </w:r>
      <w:r w:rsidR="00A470B1" w:rsidRPr="00A470B1">
        <w:rPr>
          <w:color w:val="FF0000"/>
        </w:rPr>
        <w:t>/SGH</w:t>
      </w:r>
      <w:r w:rsidR="00A470B1" w:rsidRPr="00A470B1">
        <w:rPr>
          <w:rFonts w:ascii="Calibri" w:hAnsi="Calibri" w:cs="Calibri"/>
          <w:color w:val="FF0000"/>
        </w:rPr>
        <w:t xml:space="preserve"> as </w:t>
      </w:r>
      <w:r w:rsidR="00A470B1" w:rsidRPr="00A470B1">
        <w:rPr>
          <w:rFonts w:ascii="Calibri" w:hAnsi="Calibri" w:cs="Calibri"/>
          <w:b/>
          <w:bCs/>
          <w:color w:val="FF0000"/>
        </w:rPr>
        <w:t>fichas das visitas de inspeção realizadas em 201</w:t>
      </w:r>
      <w:r w:rsidR="00821752">
        <w:rPr>
          <w:rFonts w:ascii="Calibri" w:hAnsi="Calibri" w:cs="Calibri"/>
          <w:b/>
          <w:bCs/>
          <w:color w:val="FF0000"/>
        </w:rPr>
        <w:t>9</w:t>
      </w:r>
      <w:r w:rsidR="00A470B1" w:rsidRPr="00A470B1">
        <w:rPr>
          <w:rFonts w:ascii="Calibri" w:hAnsi="Calibri" w:cs="Calibri"/>
          <w:color w:val="FF0000"/>
        </w:rPr>
        <w:t xml:space="preserve">, </w:t>
      </w:r>
      <w:r w:rsidR="00821752" w:rsidRPr="005B29AE">
        <w:rPr>
          <w:rFonts w:ascii="Calibri" w:hAnsi="Calibri" w:cs="Calibri"/>
          <w:color w:val="FF0000"/>
        </w:rPr>
        <w:t>preenchidas pelo aplicativo Survey123 e disponibilizadas no Portal de Produção do SNIRH</w:t>
      </w:r>
      <w:r w:rsidR="00821752">
        <w:rPr>
          <w:rFonts w:ascii="Calibri" w:hAnsi="Calibri" w:cs="Calibri"/>
          <w:color w:val="FF0000"/>
        </w:rPr>
        <w:t xml:space="preserve"> </w:t>
      </w:r>
      <w:r w:rsidR="00821752" w:rsidRPr="00821752">
        <w:rPr>
          <w:rStyle w:val="Hyperlink"/>
        </w:rPr>
        <w:t>(</w:t>
      </w:r>
      <w:hyperlink r:id="rId9" w:history="1">
        <w:r w:rsidR="00821752" w:rsidRPr="00D8705D">
          <w:rPr>
            <w:rStyle w:val="Hyperlink"/>
            <w:rFonts w:ascii="Calibri" w:hAnsi="Calibri" w:cs="Calibri"/>
          </w:rPr>
          <w:t>https://portal1.snirh.gov.br/ana</w:t>
        </w:r>
      </w:hyperlink>
      <w:r w:rsidR="00821752">
        <w:rPr>
          <w:rStyle w:val="Hyperlink"/>
          <w:rFonts w:ascii="Calibri" w:hAnsi="Calibri" w:cs="Calibri"/>
        </w:rPr>
        <w:t>)</w:t>
      </w:r>
    </w:p>
    <w:p w14:paraId="000E5677" w14:textId="77777777" w:rsidR="009F6FD4" w:rsidRPr="00A470B1" w:rsidRDefault="009F6FD4" w:rsidP="001C1089">
      <w:pPr>
        <w:spacing w:after="0"/>
        <w:jc w:val="both"/>
        <w:rPr>
          <w:rFonts w:cstheme="minorHAnsi"/>
          <w:color w:val="FF0000"/>
        </w:rPr>
      </w:pPr>
    </w:p>
    <w:p w14:paraId="4117CA14" w14:textId="77777777"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14:paraId="48B0399B" w14:textId="77777777" w:rsidR="00FB21E0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2F5D12">
        <w:rPr>
          <w:rFonts w:asciiTheme="minorHAnsi" w:hAnsiTheme="minorHAnsi" w:cstheme="minorHAnsi"/>
          <w:b/>
        </w:rPr>
        <w:lastRenderedPageBreak/>
        <w:t>META 1.5 – ATUAÇÃO PARA SEGURANÇA DE BARRAGENS</w:t>
      </w:r>
    </w:p>
    <w:p w14:paraId="2B9EDCB5" w14:textId="202343CA" w:rsidR="00423F8E" w:rsidRDefault="00240A70" w:rsidP="00423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9A13D4">
        <w:rPr>
          <w:rFonts w:cstheme="minorHAnsi"/>
          <w:color w:val="FF0000"/>
        </w:rPr>
        <w:t xml:space="preserve">Esta meta prevê o cumprimento de exigências relativas à implementação da Política Nacional de Segurança de Barragens (PNSB) </w:t>
      </w:r>
      <w:r>
        <w:rPr>
          <w:rFonts w:cstheme="minorHAnsi"/>
          <w:color w:val="FF0000"/>
        </w:rPr>
        <w:t>no âmbito d</w:t>
      </w:r>
      <w:r w:rsidRPr="009A13D4">
        <w:rPr>
          <w:rFonts w:cstheme="minorHAnsi"/>
          <w:color w:val="FF0000"/>
        </w:rPr>
        <w:t>os estados, a partir da Lei nº 12.334/2010 e das Resoluções CNRH pertinentes</w:t>
      </w:r>
      <w:r w:rsidR="00423F8E" w:rsidRPr="00423F8E">
        <w:rPr>
          <w:rFonts w:cstheme="minorHAnsi"/>
          <w:color w:val="FF0000"/>
        </w:rPr>
        <w:t>.</w:t>
      </w:r>
    </w:p>
    <w:p w14:paraId="0885C6BA" w14:textId="77777777" w:rsidR="005F6CE3" w:rsidRDefault="005F6CE3" w:rsidP="00423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0F257F2D" w14:textId="1DEE2382" w:rsidR="005F6CE3" w:rsidRPr="005F6CE3" w:rsidRDefault="005F6CE3" w:rsidP="005F6CE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 xml:space="preserve">Assim, os fiscalizadores </w:t>
      </w:r>
      <w:r w:rsidR="00821752">
        <w:rPr>
          <w:rFonts w:ascii="Calibri" w:hAnsi="Calibri" w:cs="Calibri"/>
          <w:color w:val="FF0000"/>
        </w:rPr>
        <w:t>d</w:t>
      </w:r>
      <w:r w:rsidR="00A4133F">
        <w:rPr>
          <w:rFonts w:ascii="Calibri" w:hAnsi="Calibri" w:cs="Calibri"/>
          <w:color w:val="FF0000"/>
        </w:rPr>
        <w:t>o Amapá, Distrito Federal e São Paulo</w:t>
      </w:r>
      <w:r w:rsidRPr="005F6CE3">
        <w:rPr>
          <w:rFonts w:ascii="Calibri" w:hAnsi="Calibri" w:cs="Calibri"/>
          <w:color w:val="FF0000"/>
        </w:rPr>
        <w:t xml:space="preserve"> deverão, </w:t>
      </w:r>
      <w:r w:rsidRPr="005F6CE3">
        <w:rPr>
          <w:rFonts w:ascii="Calibri" w:hAnsi="Calibri" w:cs="Calibri"/>
          <w:b/>
          <w:bCs/>
          <w:color w:val="FF0000"/>
        </w:rPr>
        <w:t xml:space="preserve">para barragens de usos múltiplos que não gerem energia elétrica, </w:t>
      </w:r>
      <w:r w:rsidRPr="005F6CE3">
        <w:rPr>
          <w:rFonts w:ascii="Calibri" w:hAnsi="Calibri" w:cs="Calibri"/>
          <w:color w:val="FF0000"/>
        </w:rPr>
        <w:t>avançar no sentido d</w:t>
      </w:r>
      <w:r w:rsidR="00A4133F">
        <w:rPr>
          <w:rFonts w:ascii="Calibri" w:hAnsi="Calibri" w:cs="Calibri"/>
          <w:color w:val="FF0000"/>
        </w:rPr>
        <w:t xml:space="preserve">o </w:t>
      </w:r>
      <w:r w:rsidR="00A4133F" w:rsidRPr="009A13D4">
        <w:rPr>
          <w:rFonts w:cstheme="minorHAnsi"/>
          <w:color w:val="FF0000"/>
        </w:rPr>
        <w:t>atendimento dos itens I a VI constantes do Anexo I dos contratos</w:t>
      </w:r>
      <w:r w:rsidRPr="005F6CE3">
        <w:rPr>
          <w:rFonts w:ascii="Calibri" w:hAnsi="Calibri" w:cs="Calibri"/>
          <w:color w:val="FF0000"/>
        </w:rPr>
        <w:t xml:space="preserve">: </w:t>
      </w:r>
    </w:p>
    <w:p w14:paraId="28E2A7B8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Cs/>
          <w:color w:val="000000"/>
        </w:rPr>
      </w:pPr>
      <w:r w:rsidRPr="00DF635E">
        <w:rPr>
          <w:rFonts w:ascii="Calibri" w:hAnsi="Calibri" w:cs="Calibri"/>
          <w:bCs/>
          <w:color w:val="000000"/>
        </w:rPr>
        <w:t>I) Ações implementadas para obtenção de outorgas, autorizações ou outros instrumentos de regularização dos barramentos, incluindo, quando for o caso, licenças ambientais</w:t>
      </w:r>
      <w:r>
        <w:rPr>
          <w:rFonts w:ascii="Calibri" w:hAnsi="Calibri" w:cs="Calibri"/>
          <w:bCs/>
          <w:color w:val="000000"/>
        </w:rPr>
        <w:t>.</w:t>
      </w:r>
    </w:p>
    <w:p w14:paraId="1A48FA2A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II) Classificação das barragens quanto ao dano potencial associado (DPA). </w:t>
      </w:r>
    </w:p>
    <w:p w14:paraId="7CB1D932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III) Classificação das barragens submetidas à Lei nº 12.334/2010 quanto à categoria de risco (CRI). </w:t>
      </w:r>
    </w:p>
    <w:p w14:paraId="4DE65F5B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>IV) Inserção dos dados das barragens regularizadas no Sistema Nacional de Informações sobre Segurança de Barragens (SNISB)</w:t>
      </w:r>
      <w:r w:rsidRPr="00DF635E">
        <w:rPr>
          <w:rFonts w:ascii="Calibri" w:hAnsi="Calibri" w:cs="Calibri"/>
          <w:color w:val="000000"/>
        </w:rPr>
        <w:t xml:space="preserve">. </w:t>
      </w:r>
    </w:p>
    <w:p w14:paraId="19E4FA35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V) Regulamentação, no âmbito do estado, da Lei nº 12.334/2010 em relação aos seguintes itens: Plano de Segurança de Barragem, Plano de Ação de Emergência (PAE), Inspeções Regular e Especial, e Revisão Periódica de Segurança de Barragem. </w:t>
      </w:r>
    </w:p>
    <w:p w14:paraId="005F760F" w14:textId="77777777" w:rsidR="00A4133F" w:rsidRPr="00DF635E" w:rsidRDefault="00A4133F" w:rsidP="00A4133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0000" w:themeColor="text1"/>
        </w:rPr>
      </w:pPr>
      <w:r w:rsidRPr="00DF635E">
        <w:rPr>
          <w:rFonts w:ascii="Calibri" w:hAnsi="Calibri" w:cs="Calibri"/>
          <w:bCs/>
          <w:color w:val="000000"/>
        </w:rPr>
        <w:t>VI</w:t>
      </w:r>
      <w:r w:rsidRPr="00DF635E">
        <w:rPr>
          <w:rFonts w:ascii="Calibri" w:hAnsi="Calibri" w:cs="Calibri"/>
          <w:bCs/>
          <w:color w:val="000000" w:themeColor="text1"/>
        </w:rPr>
        <w:t>) Disponibilização de informações necessárias para a elaboração do Relatório de Segurança de Barragens (RSB).</w:t>
      </w:r>
    </w:p>
    <w:p w14:paraId="484E9450" w14:textId="77777777" w:rsidR="005F6CE3" w:rsidRPr="005F6CE3" w:rsidRDefault="005F6CE3">
      <w:pPr>
        <w:rPr>
          <w:rFonts w:cstheme="minorHAnsi"/>
          <w:color w:val="FF0000"/>
        </w:rPr>
      </w:pPr>
    </w:p>
    <w:p w14:paraId="099C9C07" w14:textId="77777777" w:rsidR="00F36D53" w:rsidRPr="00576A43" w:rsidRDefault="00F36D53">
      <w:pPr>
        <w:rPr>
          <w:rFonts w:cstheme="minorHAnsi"/>
          <w:b/>
          <w:color w:val="595959" w:themeColor="text1" w:themeTint="A6"/>
        </w:rPr>
      </w:pPr>
      <w:r w:rsidRPr="00576A43">
        <w:rPr>
          <w:rFonts w:cstheme="minorHAnsi"/>
          <w:b/>
          <w:color w:val="595959" w:themeColor="text1" w:themeTint="A6"/>
        </w:rPr>
        <w:br w:type="page"/>
      </w:r>
    </w:p>
    <w:p w14:paraId="581A7FA6" w14:textId="06ACADCF" w:rsidR="004C3D11" w:rsidRPr="00D02B3C" w:rsidRDefault="00A347FC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Aplicação dos Recursos do Progestão</w:t>
      </w:r>
      <w:r w:rsidR="00A90E24">
        <w:rPr>
          <w:rFonts w:cstheme="minorHAnsi"/>
          <w:b/>
          <w:sz w:val="32"/>
          <w:szCs w:val="32"/>
        </w:rPr>
        <w:t xml:space="preserve"> até dezembro de 201</w:t>
      </w:r>
      <w:r w:rsidR="00C23BA0">
        <w:rPr>
          <w:rFonts w:cstheme="minorHAnsi"/>
          <w:b/>
          <w:sz w:val="32"/>
          <w:szCs w:val="32"/>
        </w:rPr>
        <w:t>9</w:t>
      </w:r>
    </w:p>
    <w:p w14:paraId="0B9FEB9C" w14:textId="4A5D626E" w:rsidR="007010D6" w:rsidRDefault="004C3D11" w:rsidP="004C3D11">
      <w:pPr>
        <w:jc w:val="both"/>
        <w:rPr>
          <w:rFonts w:cstheme="minorHAnsi"/>
          <w:bCs/>
          <w:color w:val="FF0000"/>
        </w:rPr>
      </w:pPr>
      <w:r w:rsidRPr="00956B3D">
        <w:rPr>
          <w:rFonts w:cstheme="minorHAnsi"/>
          <w:color w:val="FF0000"/>
        </w:rPr>
        <w:t xml:space="preserve">Tendo em vista o inciso II da Cláusula Terceira dos contratos, reiterado na Cláusula Décima Segunda, que estabelece que cabe à entidade estadual aplicar os recursos do Progestão exclusivamente em ações de gerenciamento de recursos hídricos e de fortalecimento do Sistema Estadual de Gerenciamento de Recursos Hídricos, solicitamos </w:t>
      </w:r>
      <w:r w:rsidRPr="00956B3D">
        <w:rPr>
          <w:rFonts w:cstheme="minorHAnsi"/>
          <w:b/>
          <w:bCs/>
          <w:color w:val="FF0000"/>
        </w:rPr>
        <w:t xml:space="preserve">informar sobre a aplicação dos recursos do Progestão transferidos ao estado até </w:t>
      </w:r>
      <w:r w:rsidR="00EB258A">
        <w:rPr>
          <w:rFonts w:cstheme="minorHAnsi"/>
          <w:b/>
          <w:bCs/>
          <w:color w:val="FF0000"/>
        </w:rPr>
        <w:t>dezembro de 201</w:t>
      </w:r>
      <w:r w:rsidR="00C82543">
        <w:rPr>
          <w:rFonts w:cstheme="minorHAnsi"/>
          <w:b/>
          <w:bCs/>
          <w:color w:val="FF0000"/>
        </w:rPr>
        <w:t>9</w:t>
      </w:r>
      <w:r>
        <w:rPr>
          <w:rFonts w:cstheme="minorHAnsi"/>
          <w:b/>
          <w:bCs/>
          <w:color w:val="FF0000"/>
        </w:rPr>
        <w:t xml:space="preserve">, </w:t>
      </w:r>
      <w:r>
        <w:rPr>
          <w:rFonts w:cstheme="minorHAnsi"/>
          <w:bCs/>
          <w:color w:val="FF0000"/>
        </w:rPr>
        <w:t>especificando os valores gastos</w:t>
      </w:r>
      <w:r w:rsidR="00A149B5">
        <w:rPr>
          <w:rFonts w:cstheme="minorHAnsi"/>
          <w:bCs/>
          <w:color w:val="FF0000"/>
        </w:rPr>
        <w:t>, transferidos</w:t>
      </w:r>
      <w:r w:rsidR="00E81DE8">
        <w:rPr>
          <w:rFonts w:cstheme="minorHAnsi"/>
          <w:bCs/>
          <w:color w:val="FF0000"/>
        </w:rPr>
        <w:t>, os rendimentos</w:t>
      </w:r>
      <w:r w:rsidR="00A149B5">
        <w:rPr>
          <w:rFonts w:cstheme="minorHAnsi"/>
          <w:bCs/>
          <w:color w:val="FF0000"/>
        </w:rPr>
        <w:t xml:space="preserve"> e o saldo dos recursos Progestão no ano,</w:t>
      </w:r>
      <w:r w:rsidR="007010D6">
        <w:rPr>
          <w:rFonts w:cstheme="minorHAnsi"/>
          <w:bCs/>
          <w:color w:val="FF0000"/>
        </w:rPr>
        <w:t xml:space="preserve"> conforme</w:t>
      </w:r>
      <w:r w:rsidR="00431B8F">
        <w:rPr>
          <w:rFonts w:cstheme="minorHAnsi"/>
          <w:bCs/>
          <w:color w:val="FF0000"/>
        </w:rPr>
        <w:t xml:space="preserve"> modelo de</w:t>
      </w:r>
      <w:r w:rsidR="007010D6">
        <w:rPr>
          <w:rFonts w:cstheme="minorHAnsi"/>
          <w:bCs/>
          <w:color w:val="FF0000"/>
        </w:rPr>
        <w:t xml:space="preserve"> planilha Excel anexa.</w:t>
      </w:r>
    </w:p>
    <w:p w14:paraId="34D46A2B" w14:textId="6BDE4FE9" w:rsidR="00431B8F" w:rsidRPr="00D16CFB" w:rsidRDefault="00431B8F" w:rsidP="00431B8F">
      <w:pPr>
        <w:spacing w:line="240" w:lineRule="auto"/>
        <w:ind w:left="567" w:hanging="567"/>
        <w:jc w:val="both"/>
        <w:rPr>
          <w:rFonts w:cstheme="minorHAnsi"/>
          <w:i/>
          <w:iCs/>
        </w:rPr>
      </w:pPr>
      <w:r w:rsidRPr="009F257B">
        <w:rPr>
          <w:rFonts w:cstheme="minorHAnsi"/>
          <w:b/>
          <w:bCs/>
          <w:u w:val="single"/>
        </w:rPr>
        <w:t>OBS</w:t>
      </w:r>
      <w:r w:rsidRPr="009F257B">
        <w:rPr>
          <w:rFonts w:cstheme="minorHAnsi"/>
        </w:rPr>
        <w:t>:</w:t>
      </w:r>
      <w:r>
        <w:rPr>
          <w:rFonts w:cstheme="minorHAnsi"/>
        </w:rPr>
        <w:tab/>
      </w:r>
      <w:r w:rsidRPr="00D16CFB">
        <w:rPr>
          <w:rFonts w:cstheme="minorHAnsi"/>
          <w:i/>
          <w:iCs/>
        </w:rPr>
        <w:t>Verificar a compatibilidade do saldo total de 2018 informado na planilha enviada no ano anterior</w:t>
      </w:r>
      <w:r w:rsidR="00482751">
        <w:rPr>
          <w:rFonts w:cstheme="minorHAnsi"/>
          <w:i/>
          <w:iCs/>
        </w:rPr>
        <w:t xml:space="preserve"> </w:t>
      </w:r>
      <w:r w:rsidR="00482751">
        <w:rPr>
          <w:rFonts w:cstheme="minorHAnsi"/>
          <w:i/>
          <w:iCs/>
        </w:rPr>
        <w:t>e disponível no portal Progestão</w:t>
      </w:r>
      <w:bookmarkStart w:id="1" w:name="_GoBack"/>
      <w:bookmarkEnd w:id="1"/>
      <w:r w:rsidRPr="00D16CFB">
        <w:rPr>
          <w:rFonts w:cstheme="minorHAnsi"/>
          <w:i/>
          <w:iCs/>
        </w:rPr>
        <w:t>. Esclarecer devidamente em caso de divergências.</w:t>
      </w:r>
    </w:p>
    <w:p w14:paraId="4C26EBCF" w14:textId="77777777" w:rsidR="004C3D11" w:rsidRDefault="004C3D11" w:rsidP="004C3D1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C313FFD" w14:textId="77777777" w:rsidR="008707DC" w:rsidRPr="008C2073" w:rsidRDefault="00A347FC" w:rsidP="008C2073">
      <w:pPr>
        <w:spacing w:after="240"/>
        <w:rPr>
          <w:rFonts w:cstheme="minorHAnsi"/>
          <w:b/>
          <w:sz w:val="32"/>
          <w:szCs w:val="32"/>
        </w:rPr>
      </w:pPr>
      <w:r w:rsidRPr="008C2073">
        <w:rPr>
          <w:rFonts w:cstheme="minorHAnsi"/>
          <w:b/>
          <w:sz w:val="32"/>
          <w:szCs w:val="32"/>
        </w:rPr>
        <w:lastRenderedPageBreak/>
        <w:t>Anexos</w:t>
      </w:r>
    </w:p>
    <w:p w14:paraId="587093F1" w14:textId="77777777" w:rsidR="0067658B" w:rsidRPr="001D2A6E" w:rsidRDefault="00B72BBF" w:rsidP="00B72BBF">
      <w:pPr>
        <w:pStyle w:val="PargrafodaLista"/>
        <w:ind w:left="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</w:t>
      </w:r>
      <w:r w:rsidR="00AC4512">
        <w:rPr>
          <w:rFonts w:cstheme="minorHAnsi"/>
          <w:color w:val="FF0000"/>
          <w:sz w:val="24"/>
          <w:szCs w:val="24"/>
        </w:rPr>
        <w:t>nexos eventualmente necessários</w:t>
      </w:r>
      <w:r>
        <w:rPr>
          <w:rFonts w:cstheme="minorHAnsi"/>
          <w:color w:val="FF0000"/>
          <w:sz w:val="24"/>
          <w:szCs w:val="24"/>
        </w:rPr>
        <w:t>.</w:t>
      </w:r>
    </w:p>
    <w:p w14:paraId="71E865E1" w14:textId="77777777" w:rsidR="00FB21E0" w:rsidRPr="00FB21E0" w:rsidRDefault="00FB21E0" w:rsidP="00FB21E0">
      <w:pPr>
        <w:jc w:val="center"/>
        <w:rPr>
          <w:b/>
          <w:sz w:val="24"/>
          <w:szCs w:val="24"/>
        </w:rPr>
      </w:pPr>
    </w:p>
    <w:sectPr w:rsidR="00FB21E0" w:rsidRPr="00FB21E0" w:rsidSect="006073D1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F486" w14:textId="77777777" w:rsidR="00EC2A4A" w:rsidRDefault="00EC2A4A" w:rsidP="00FB21E0">
      <w:pPr>
        <w:spacing w:after="0" w:line="240" w:lineRule="auto"/>
      </w:pPr>
      <w:r>
        <w:separator/>
      </w:r>
    </w:p>
  </w:endnote>
  <w:endnote w:type="continuationSeparator" w:id="0">
    <w:p w14:paraId="06B090FA" w14:textId="77777777" w:rsidR="00EC2A4A" w:rsidRDefault="00EC2A4A" w:rsidP="00FB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6710" w14:textId="77777777" w:rsidR="00EC2A4A" w:rsidRDefault="00EC2A4A" w:rsidP="00FB21E0">
      <w:pPr>
        <w:spacing w:after="0" w:line="240" w:lineRule="auto"/>
      </w:pPr>
      <w:r>
        <w:separator/>
      </w:r>
    </w:p>
  </w:footnote>
  <w:footnote w:type="continuationSeparator" w:id="0">
    <w:p w14:paraId="5FB647A5" w14:textId="77777777" w:rsidR="00EC2A4A" w:rsidRDefault="00EC2A4A" w:rsidP="00FB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DF"/>
    <w:multiLevelType w:val="hybridMultilevel"/>
    <w:tmpl w:val="1688B612"/>
    <w:lvl w:ilvl="0" w:tplc="59CC64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1F5C77"/>
    <w:multiLevelType w:val="hybridMultilevel"/>
    <w:tmpl w:val="20246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795"/>
    <w:multiLevelType w:val="multilevel"/>
    <w:tmpl w:val="0416001F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B41F1"/>
    <w:multiLevelType w:val="hybridMultilevel"/>
    <w:tmpl w:val="15C0D91E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D8A"/>
    <w:multiLevelType w:val="hybridMultilevel"/>
    <w:tmpl w:val="D514EC74"/>
    <w:lvl w:ilvl="0" w:tplc="0416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0E2B4BA8"/>
    <w:multiLevelType w:val="hybridMultilevel"/>
    <w:tmpl w:val="41107DC8"/>
    <w:lvl w:ilvl="0" w:tplc="0416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5631C4A"/>
    <w:multiLevelType w:val="hybridMultilevel"/>
    <w:tmpl w:val="1090DAD6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BC213FE"/>
    <w:multiLevelType w:val="hybridMultilevel"/>
    <w:tmpl w:val="426223FC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8E7"/>
    <w:multiLevelType w:val="multilevel"/>
    <w:tmpl w:val="0416001F"/>
    <w:numStyleLink w:val="Estilo1"/>
  </w:abstractNum>
  <w:abstractNum w:abstractNumId="9" w15:restartNumberingAfterBreak="0">
    <w:nsid w:val="231F23A9"/>
    <w:multiLevelType w:val="hybridMultilevel"/>
    <w:tmpl w:val="7C228322"/>
    <w:lvl w:ilvl="0" w:tplc="57E2F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364C"/>
    <w:multiLevelType w:val="hybridMultilevel"/>
    <w:tmpl w:val="61F2F9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64EAC"/>
    <w:multiLevelType w:val="multilevel"/>
    <w:tmpl w:val="0416001F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2C87627A"/>
    <w:multiLevelType w:val="hybridMultilevel"/>
    <w:tmpl w:val="A51252DA"/>
    <w:lvl w:ilvl="0" w:tplc="8B3E3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305F"/>
    <w:multiLevelType w:val="hybridMultilevel"/>
    <w:tmpl w:val="D2CC8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773"/>
    <w:multiLevelType w:val="hybridMultilevel"/>
    <w:tmpl w:val="8D04521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A97"/>
    <w:multiLevelType w:val="multilevel"/>
    <w:tmpl w:val="0416001F"/>
    <w:lvl w:ilvl="0">
      <w:start w:val="1"/>
      <w:numFmt w:val="upperRoman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6" w15:restartNumberingAfterBreak="0">
    <w:nsid w:val="39413F7B"/>
    <w:multiLevelType w:val="hybridMultilevel"/>
    <w:tmpl w:val="0AE69C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4BEF"/>
    <w:multiLevelType w:val="hybridMultilevel"/>
    <w:tmpl w:val="C2BAF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5B46"/>
    <w:multiLevelType w:val="hybridMultilevel"/>
    <w:tmpl w:val="5A529342"/>
    <w:lvl w:ilvl="0" w:tplc="7C820438">
      <w:start w:val="1"/>
      <w:numFmt w:val="decimal"/>
      <w:lvlText w:val="%1."/>
      <w:lvlJc w:val="left"/>
      <w:pPr>
        <w:ind w:left="1800" w:hanging="144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F2264"/>
    <w:multiLevelType w:val="hybridMultilevel"/>
    <w:tmpl w:val="3AA4F228"/>
    <w:lvl w:ilvl="0" w:tplc="1F0A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D3B16"/>
    <w:multiLevelType w:val="hybridMultilevel"/>
    <w:tmpl w:val="E83E36C0"/>
    <w:lvl w:ilvl="0" w:tplc="0416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4FB764FD"/>
    <w:multiLevelType w:val="multilevel"/>
    <w:tmpl w:val="0416001F"/>
    <w:numStyleLink w:val="Estilo1"/>
  </w:abstractNum>
  <w:abstractNum w:abstractNumId="22" w15:restartNumberingAfterBreak="0">
    <w:nsid w:val="521D5DF6"/>
    <w:multiLevelType w:val="hybridMultilevel"/>
    <w:tmpl w:val="F99A1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956B8"/>
    <w:multiLevelType w:val="hybridMultilevel"/>
    <w:tmpl w:val="339AE8F6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074"/>
    <w:multiLevelType w:val="hybridMultilevel"/>
    <w:tmpl w:val="1954F99A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E0C91"/>
    <w:multiLevelType w:val="hybridMultilevel"/>
    <w:tmpl w:val="A3CEAD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A40A7"/>
    <w:multiLevelType w:val="hybridMultilevel"/>
    <w:tmpl w:val="EDEC3408"/>
    <w:lvl w:ilvl="0" w:tplc="95CC3F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315442"/>
    <w:multiLevelType w:val="hybridMultilevel"/>
    <w:tmpl w:val="ADD8B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86BDA"/>
    <w:multiLevelType w:val="hybridMultilevel"/>
    <w:tmpl w:val="B6126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0966"/>
    <w:multiLevelType w:val="hybridMultilevel"/>
    <w:tmpl w:val="8CA658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D62"/>
    <w:multiLevelType w:val="hybridMultilevel"/>
    <w:tmpl w:val="C2909632"/>
    <w:lvl w:ilvl="0" w:tplc="95CC3FA6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8726CE7"/>
    <w:multiLevelType w:val="hybridMultilevel"/>
    <w:tmpl w:val="4CA4C07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1071C"/>
    <w:multiLevelType w:val="multilevel"/>
    <w:tmpl w:val="0416001F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B355CD"/>
    <w:multiLevelType w:val="hybridMultilevel"/>
    <w:tmpl w:val="AE6E47E2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C6D49"/>
    <w:multiLevelType w:val="multilevel"/>
    <w:tmpl w:val="0416001F"/>
    <w:numStyleLink w:val="Estilo1"/>
  </w:abstractNum>
  <w:num w:numId="1">
    <w:abstractNumId w:val="2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">
    <w:abstractNumId w:val="1"/>
  </w:num>
  <w:num w:numId="3">
    <w:abstractNumId w:val="22"/>
  </w:num>
  <w:num w:numId="4">
    <w:abstractNumId w:val="25"/>
  </w:num>
  <w:num w:numId="5">
    <w:abstractNumId w:val="32"/>
  </w:num>
  <w:num w:numId="6">
    <w:abstractNumId w:val="28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26"/>
  </w:num>
  <w:num w:numId="12">
    <w:abstractNumId w:val="34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6"/>
  </w:num>
  <w:num w:numId="18">
    <w:abstractNumId w:val="27"/>
  </w:num>
  <w:num w:numId="19">
    <w:abstractNumId w:val="30"/>
  </w:num>
  <w:num w:numId="20">
    <w:abstractNumId w:val="20"/>
  </w:num>
  <w:num w:numId="21">
    <w:abstractNumId w:val="13"/>
  </w:num>
  <w:num w:numId="22">
    <w:abstractNumId w:val="18"/>
  </w:num>
  <w:num w:numId="23">
    <w:abstractNumId w:val="16"/>
  </w:num>
  <w:num w:numId="24">
    <w:abstractNumId w:val="14"/>
  </w:num>
  <w:num w:numId="25">
    <w:abstractNumId w:val="17"/>
  </w:num>
  <w:num w:numId="26">
    <w:abstractNumId w:val="0"/>
  </w:num>
  <w:num w:numId="27">
    <w:abstractNumId w:val="29"/>
  </w:num>
  <w:num w:numId="28">
    <w:abstractNumId w:val="23"/>
  </w:num>
  <w:num w:numId="29">
    <w:abstractNumId w:val="3"/>
  </w:num>
  <w:num w:numId="30">
    <w:abstractNumId w:val="24"/>
  </w:num>
  <w:num w:numId="31">
    <w:abstractNumId w:val="31"/>
  </w:num>
  <w:num w:numId="32">
    <w:abstractNumId w:val="33"/>
  </w:num>
  <w:num w:numId="33">
    <w:abstractNumId w:val="19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7C"/>
    <w:rsid w:val="00003298"/>
    <w:rsid w:val="00006680"/>
    <w:rsid w:val="0001220D"/>
    <w:rsid w:val="00013C7F"/>
    <w:rsid w:val="00017D7C"/>
    <w:rsid w:val="000321AF"/>
    <w:rsid w:val="000528D0"/>
    <w:rsid w:val="00060B51"/>
    <w:rsid w:val="00067890"/>
    <w:rsid w:val="000728A4"/>
    <w:rsid w:val="00077151"/>
    <w:rsid w:val="000927F7"/>
    <w:rsid w:val="00095D25"/>
    <w:rsid w:val="000A3071"/>
    <w:rsid w:val="000D0CDE"/>
    <w:rsid w:val="000D4A5E"/>
    <w:rsid w:val="000F568F"/>
    <w:rsid w:val="00122E09"/>
    <w:rsid w:val="0012430D"/>
    <w:rsid w:val="001679E4"/>
    <w:rsid w:val="0017272D"/>
    <w:rsid w:val="001B73FB"/>
    <w:rsid w:val="001B7752"/>
    <w:rsid w:val="001C0A37"/>
    <w:rsid w:val="001C1089"/>
    <w:rsid w:val="001C5127"/>
    <w:rsid w:val="001D2A6E"/>
    <w:rsid w:val="002209AC"/>
    <w:rsid w:val="00224F4B"/>
    <w:rsid w:val="00236320"/>
    <w:rsid w:val="002379B8"/>
    <w:rsid w:val="00240A70"/>
    <w:rsid w:val="00250B54"/>
    <w:rsid w:val="00253CFF"/>
    <w:rsid w:val="00254262"/>
    <w:rsid w:val="00254313"/>
    <w:rsid w:val="00284047"/>
    <w:rsid w:val="002864B6"/>
    <w:rsid w:val="00287C7D"/>
    <w:rsid w:val="002A5C05"/>
    <w:rsid w:val="002A78EC"/>
    <w:rsid w:val="002B1A3F"/>
    <w:rsid w:val="002C1AFA"/>
    <w:rsid w:val="002C1DD8"/>
    <w:rsid w:val="002D297D"/>
    <w:rsid w:val="002F5D12"/>
    <w:rsid w:val="00301E03"/>
    <w:rsid w:val="00302AA9"/>
    <w:rsid w:val="00302EA5"/>
    <w:rsid w:val="00313561"/>
    <w:rsid w:val="00325AD6"/>
    <w:rsid w:val="00346263"/>
    <w:rsid w:val="00351A49"/>
    <w:rsid w:val="003623B8"/>
    <w:rsid w:val="00364245"/>
    <w:rsid w:val="00380B9B"/>
    <w:rsid w:val="003812AA"/>
    <w:rsid w:val="003A3D2A"/>
    <w:rsid w:val="003A50A2"/>
    <w:rsid w:val="003B6BBC"/>
    <w:rsid w:val="003D17CB"/>
    <w:rsid w:val="003D3F40"/>
    <w:rsid w:val="003E689D"/>
    <w:rsid w:val="00404529"/>
    <w:rsid w:val="00406F81"/>
    <w:rsid w:val="004119B4"/>
    <w:rsid w:val="004239D2"/>
    <w:rsid w:val="00423F8E"/>
    <w:rsid w:val="00431B8F"/>
    <w:rsid w:val="0044381A"/>
    <w:rsid w:val="00444BD2"/>
    <w:rsid w:val="004549AD"/>
    <w:rsid w:val="00473802"/>
    <w:rsid w:val="00482751"/>
    <w:rsid w:val="004A00E6"/>
    <w:rsid w:val="004B3A49"/>
    <w:rsid w:val="004C3D11"/>
    <w:rsid w:val="004D2C31"/>
    <w:rsid w:val="004D6AAD"/>
    <w:rsid w:val="004F4A70"/>
    <w:rsid w:val="00512BD1"/>
    <w:rsid w:val="00536EE6"/>
    <w:rsid w:val="00545C9D"/>
    <w:rsid w:val="00572CF2"/>
    <w:rsid w:val="00574D67"/>
    <w:rsid w:val="00576A43"/>
    <w:rsid w:val="00577D29"/>
    <w:rsid w:val="005831B6"/>
    <w:rsid w:val="005C17C1"/>
    <w:rsid w:val="005D4882"/>
    <w:rsid w:val="005F6CE3"/>
    <w:rsid w:val="006073D1"/>
    <w:rsid w:val="0061675C"/>
    <w:rsid w:val="00641A7A"/>
    <w:rsid w:val="0064440B"/>
    <w:rsid w:val="006466AC"/>
    <w:rsid w:val="00650238"/>
    <w:rsid w:val="00671B8A"/>
    <w:rsid w:val="0067658B"/>
    <w:rsid w:val="00682E26"/>
    <w:rsid w:val="0069089C"/>
    <w:rsid w:val="006915A0"/>
    <w:rsid w:val="00695072"/>
    <w:rsid w:val="00696335"/>
    <w:rsid w:val="006A7270"/>
    <w:rsid w:val="006C4F98"/>
    <w:rsid w:val="006E7C09"/>
    <w:rsid w:val="007010D6"/>
    <w:rsid w:val="007024DA"/>
    <w:rsid w:val="007071FD"/>
    <w:rsid w:val="00714DB3"/>
    <w:rsid w:val="007342AC"/>
    <w:rsid w:val="00737014"/>
    <w:rsid w:val="0075443A"/>
    <w:rsid w:val="00763659"/>
    <w:rsid w:val="00765628"/>
    <w:rsid w:val="00780D69"/>
    <w:rsid w:val="00795E68"/>
    <w:rsid w:val="007E53C1"/>
    <w:rsid w:val="007F00A0"/>
    <w:rsid w:val="00806C40"/>
    <w:rsid w:val="0081004F"/>
    <w:rsid w:val="00821752"/>
    <w:rsid w:val="008347AC"/>
    <w:rsid w:val="00842986"/>
    <w:rsid w:val="00842A90"/>
    <w:rsid w:val="0084353E"/>
    <w:rsid w:val="00843C97"/>
    <w:rsid w:val="00850F76"/>
    <w:rsid w:val="00853CE8"/>
    <w:rsid w:val="00855130"/>
    <w:rsid w:val="008707DC"/>
    <w:rsid w:val="00894172"/>
    <w:rsid w:val="008C2073"/>
    <w:rsid w:val="008D1B6A"/>
    <w:rsid w:val="008D20DB"/>
    <w:rsid w:val="008D53A7"/>
    <w:rsid w:val="008E4715"/>
    <w:rsid w:val="008E5FE5"/>
    <w:rsid w:val="00905519"/>
    <w:rsid w:val="009172B4"/>
    <w:rsid w:val="00931D6B"/>
    <w:rsid w:val="00945A50"/>
    <w:rsid w:val="00993CBA"/>
    <w:rsid w:val="009B7D5F"/>
    <w:rsid w:val="009C2753"/>
    <w:rsid w:val="009C4DB8"/>
    <w:rsid w:val="009D5EB1"/>
    <w:rsid w:val="009D6758"/>
    <w:rsid w:val="009E63E8"/>
    <w:rsid w:val="009F11B3"/>
    <w:rsid w:val="009F6FD4"/>
    <w:rsid w:val="00A0526A"/>
    <w:rsid w:val="00A057F5"/>
    <w:rsid w:val="00A07CAE"/>
    <w:rsid w:val="00A149B5"/>
    <w:rsid w:val="00A15F2E"/>
    <w:rsid w:val="00A21563"/>
    <w:rsid w:val="00A2454A"/>
    <w:rsid w:val="00A31420"/>
    <w:rsid w:val="00A347FC"/>
    <w:rsid w:val="00A4133F"/>
    <w:rsid w:val="00A470B1"/>
    <w:rsid w:val="00A5115E"/>
    <w:rsid w:val="00A61CCE"/>
    <w:rsid w:val="00A82131"/>
    <w:rsid w:val="00A86BCB"/>
    <w:rsid w:val="00A87C91"/>
    <w:rsid w:val="00A90E24"/>
    <w:rsid w:val="00AB2F0F"/>
    <w:rsid w:val="00AC3D1E"/>
    <w:rsid w:val="00AC4512"/>
    <w:rsid w:val="00AD2B5B"/>
    <w:rsid w:val="00AE39F1"/>
    <w:rsid w:val="00AE67C0"/>
    <w:rsid w:val="00AF0509"/>
    <w:rsid w:val="00AF3BB7"/>
    <w:rsid w:val="00B035DE"/>
    <w:rsid w:val="00B207BB"/>
    <w:rsid w:val="00B26967"/>
    <w:rsid w:val="00B72BBF"/>
    <w:rsid w:val="00BA2895"/>
    <w:rsid w:val="00BA7225"/>
    <w:rsid w:val="00BC0E2B"/>
    <w:rsid w:val="00BC7EE2"/>
    <w:rsid w:val="00C23BA0"/>
    <w:rsid w:val="00C30400"/>
    <w:rsid w:val="00C3753F"/>
    <w:rsid w:val="00C45841"/>
    <w:rsid w:val="00C463CA"/>
    <w:rsid w:val="00C56B23"/>
    <w:rsid w:val="00C649F2"/>
    <w:rsid w:val="00C82543"/>
    <w:rsid w:val="00C85F97"/>
    <w:rsid w:val="00C90418"/>
    <w:rsid w:val="00C92ACE"/>
    <w:rsid w:val="00CA0190"/>
    <w:rsid w:val="00CB4302"/>
    <w:rsid w:val="00CC3CCD"/>
    <w:rsid w:val="00CD3644"/>
    <w:rsid w:val="00CD4EBD"/>
    <w:rsid w:val="00CF59E8"/>
    <w:rsid w:val="00CF6FA5"/>
    <w:rsid w:val="00D01489"/>
    <w:rsid w:val="00D02B3C"/>
    <w:rsid w:val="00D103D0"/>
    <w:rsid w:val="00D11011"/>
    <w:rsid w:val="00D15F2A"/>
    <w:rsid w:val="00D16BA4"/>
    <w:rsid w:val="00D27B7A"/>
    <w:rsid w:val="00D31E18"/>
    <w:rsid w:val="00D52939"/>
    <w:rsid w:val="00D80B99"/>
    <w:rsid w:val="00D90D89"/>
    <w:rsid w:val="00DF4D19"/>
    <w:rsid w:val="00E03628"/>
    <w:rsid w:val="00E233D6"/>
    <w:rsid w:val="00E23873"/>
    <w:rsid w:val="00E365B8"/>
    <w:rsid w:val="00E517E3"/>
    <w:rsid w:val="00E66974"/>
    <w:rsid w:val="00E72260"/>
    <w:rsid w:val="00E81DE8"/>
    <w:rsid w:val="00E84C34"/>
    <w:rsid w:val="00E91C51"/>
    <w:rsid w:val="00EA01ED"/>
    <w:rsid w:val="00EA2EE9"/>
    <w:rsid w:val="00EB258A"/>
    <w:rsid w:val="00EB2C0C"/>
    <w:rsid w:val="00EB5C80"/>
    <w:rsid w:val="00EC2A4A"/>
    <w:rsid w:val="00F0315F"/>
    <w:rsid w:val="00F24AFB"/>
    <w:rsid w:val="00F34CF5"/>
    <w:rsid w:val="00F36D53"/>
    <w:rsid w:val="00F40C7D"/>
    <w:rsid w:val="00F448F8"/>
    <w:rsid w:val="00F504E7"/>
    <w:rsid w:val="00F52EFA"/>
    <w:rsid w:val="00F6145C"/>
    <w:rsid w:val="00F741B5"/>
    <w:rsid w:val="00F84138"/>
    <w:rsid w:val="00F930FA"/>
    <w:rsid w:val="00F97E81"/>
    <w:rsid w:val="00FB21E0"/>
    <w:rsid w:val="00FB3CDE"/>
    <w:rsid w:val="00FC7F2B"/>
    <w:rsid w:val="00FD7BF7"/>
    <w:rsid w:val="00FE23FA"/>
    <w:rsid w:val="00FE7D1C"/>
    <w:rsid w:val="00FF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BB2943"/>
  <w15:docId w15:val="{49495AC4-5129-4079-B9F6-A30ED75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1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21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B21E0"/>
    <w:pPr>
      <w:spacing w:before="120"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21E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B21E0"/>
    <w:pPr>
      <w:spacing w:after="0" w:line="240" w:lineRule="auto"/>
      <w:ind w:right="743" w:firstLine="1418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1E0"/>
    <w:rPr>
      <w:rFonts w:ascii="Times New Roman" w:hAnsi="Times New Roman" w:cs="Times New Roman"/>
      <w:sz w:val="24"/>
      <w:szCs w:val="24"/>
      <w:lang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FB21E0"/>
    <w:rPr>
      <w:vertAlign w:val="superscript"/>
    </w:rPr>
  </w:style>
  <w:style w:type="numbering" w:customStyle="1" w:styleId="Estilo1">
    <w:name w:val="Estilo1"/>
    <w:uiPriority w:val="99"/>
    <w:rsid w:val="00695072"/>
    <w:pPr>
      <w:numPr>
        <w:numId w:val="5"/>
      </w:numPr>
    </w:pPr>
  </w:style>
  <w:style w:type="paragraph" w:styleId="SemEspaamento">
    <w:name w:val="No Spacing"/>
    <w:uiPriority w:val="1"/>
    <w:qFormat/>
    <w:rsid w:val="00F448F8"/>
    <w:pPr>
      <w:spacing w:after="0" w:line="240" w:lineRule="auto"/>
    </w:pPr>
  </w:style>
  <w:style w:type="paragraph" w:customStyle="1" w:styleId="Default">
    <w:name w:val="Default"/>
    <w:rsid w:val="00D15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5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628"/>
  </w:style>
  <w:style w:type="paragraph" w:styleId="Corpodetexto2">
    <w:name w:val="Body Text 2"/>
    <w:basedOn w:val="Normal"/>
    <w:link w:val="Corpodetexto2Char"/>
    <w:uiPriority w:val="99"/>
    <w:unhideWhenUsed/>
    <w:rsid w:val="007656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65628"/>
  </w:style>
  <w:style w:type="character" w:customStyle="1" w:styleId="Destaque">
    <w:name w:val="Destaque"/>
    <w:rsid w:val="00765628"/>
    <w:rPr>
      <w:rFonts w:ascii="Times New Roman" w:hAnsi="Times New Roman"/>
      <w:color w:val="800000"/>
      <w:sz w:val="24"/>
    </w:rPr>
  </w:style>
  <w:style w:type="paragraph" w:styleId="Rodap">
    <w:name w:val="footer"/>
    <w:basedOn w:val="Normal"/>
    <w:link w:val="RodapChar"/>
    <w:uiPriority w:val="99"/>
    <w:rsid w:val="007656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656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7C1"/>
  </w:style>
  <w:style w:type="table" w:styleId="Tabelacomgrade">
    <w:name w:val="Table Grid"/>
    <w:basedOn w:val="Tabelanormal"/>
    <w:uiPriority w:val="59"/>
    <w:rsid w:val="008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B7D5F"/>
    <w:rPr>
      <w:color w:val="800080" w:themeColor="followed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B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B99"/>
    <w:rPr>
      <w:i/>
      <w:i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82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orpcd.an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1.snirh.gov.br/an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0411-6C83-4180-82AD-B3FBA598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Neto de Freitas</dc:creator>
  <cp:lastModifiedBy>Ludmila Alves Rodrigues</cp:lastModifiedBy>
  <cp:revision>35</cp:revision>
  <dcterms:created xsi:type="dcterms:W3CDTF">2018-01-11T20:10:00Z</dcterms:created>
  <dcterms:modified xsi:type="dcterms:W3CDTF">2020-01-31T21:09:00Z</dcterms:modified>
</cp:coreProperties>
</file>